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rollins-rol-q2-2026-earnings-preview"/>
    <w:p>
      <w:pPr>
        <w:pStyle w:val="Heading1"/>
      </w:pPr>
      <w:r>
        <w:t xml:space="preserve">Rollins (ROL) Q2 2026 Earnings Preview</w:t>
      </w:r>
    </w:p>
    <w:p>
      <w:pPr>
        <w:pStyle w:val="BlockText"/>
      </w:pPr>
      <w:r>
        <w:rPr>
          <w:b/>
          <w:bCs/>
        </w:rPr>
        <w:t xml:space="preserve">Timing clarification:</w:t>
      </w:r>
      <w:r>
        <w:t xml:space="preserve"> </w:t>
      </w:r>
      <w:r>
        <w:t xml:space="preserve">Rollins is scheduled to release Q2 results</w:t>
      </w:r>
      <w:r>
        <w:t xml:space="preserve"> </w:t>
      </w:r>
      <w:r>
        <w:rPr>
          <w:b/>
          <w:bCs/>
        </w:rPr>
        <w:t xml:space="preserve">after the market closes today, Wednesday, July 22, 2026</w:t>
      </w:r>
      <w:r>
        <w:t xml:space="preserve">. The earnings call is</w:t>
      </w:r>
      <w:r>
        <w:t xml:space="preserve"> </w:t>
      </w:r>
      <w:r>
        <w:rPr>
          <w:b/>
          <w:bCs/>
        </w:rPr>
        <w:t xml:space="preserve">tomorrow, Thursday, July 23, at 8:30 a.m. ET</w:t>
      </w:r>
      <w:r>
        <w:t xml:space="preserve">. (</w:t>
      </w:r>
      <w:hyperlink r:id="rId9">
        <w:r>
          <w:rPr>
            <w:rStyle w:val="Hyperlink"/>
          </w:rPr>
          <w:t xml:space="preserve">rollins.com</w:t>
        </w:r>
      </w:hyperlink>
      <w:r>
        <w:t xml:space="preserve">)</w:t>
      </w:r>
    </w:p>
    <w:bookmarkStart w:id="10" w:name="investment-view-going-into-the-report"/>
    <w:p>
      <w:pPr>
        <w:pStyle w:val="Heading2"/>
      </w:pPr>
      <w:r>
        <w:t xml:space="preserve">Investment view going into the report</w:t>
      </w:r>
    </w:p>
    <w:p>
      <w:pPr>
        <w:pStyle w:val="FirstParagraph"/>
      </w:pPr>
      <w:r>
        <w:t xml:space="preserve">The central question is not whether Rollins can produce another quarter of high-single-digit or low-double-digit revenue growth. The more important issue is whether the strong March demand exit rate translates into</w:t>
      </w:r>
      <w:r>
        <w:t xml:space="preserve"> </w:t>
      </w:r>
      <w:r>
        <w:rPr>
          <w:b/>
          <w:bCs/>
        </w:rPr>
        <w:t xml:space="preserve">peak-season organic growth and better operating leverage</w:t>
      </w:r>
      <w:r>
        <w:t xml:space="preserve">.</w:t>
      </w:r>
    </w:p>
    <w:p>
      <w:pPr>
        <w:pStyle w:val="BodyText"/>
      </w:pPr>
      <w:r>
        <w:t xml:space="preserve">Investors should focus on three items:</w:t>
      </w:r>
    </w:p>
    <w:p>
      <w:pPr>
        <w:pStyle w:val="Compact"/>
        <w:numPr>
          <w:ilvl w:val="0"/>
          <w:numId w:val="1001"/>
        </w:numPr>
      </w:pPr>
      <w:r>
        <w:rPr>
          <w:b/>
          <w:bCs/>
        </w:rPr>
        <w:t xml:space="preserve">Can organic growth reach the 7%–8% algorithm?</w:t>
      </w:r>
    </w:p>
    <w:p>
      <w:pPr>
        <w:pStyle w:val="Compact"/>
        <w:numPr>
          <w:ilvl w:val="0"/>
          <w:numId w:val="1001"/>
        </w:numPr>
      </w:pPr>
      <w:r>
        <w:rPr>
          <w:b/>
          <w:bCs/>
        </w:rPr>
        <w:t xml:space="preserve">Do margins rebound after Q1’s insurance, staffing, and selling-cost pressures?</w:t>
      </w:r>
    </w:p>
    <w:p>
      <w:pPr>
        <w:pStyle w:val="Compact"/>
        <w:numPr>
          <w:ilvl w:val="0"/>
          <w:numId w:val="1001"/>
        </w:numPr>
      </w:pPr>
      <w:r>
        <w:rPr>
          <w:b/>
          <w:bCs/>
        </w:rPr>
        <w:t xml:space="preserve">Does new CFO William Harkins firmly reaffirm the company’s financial framework?</w:t>
      </w:r>
    </w:p>
    <w:p>
      <w:pPr>
        <w:pStyle w:val="FirstParagraph"/>
      </w:pPr>
      <w:r>
        <w:t xml:space="preserve">A merely in-line revenue result may not be enough if margins remain under pressure or management sounds less confident about the second half.</w:t>
      </w:r>
    </w:p>
    <w:bookmarkEnd w:id="10"/>
    <w:bookmarkStart w:id="13" w:name="consensus-setup"/>
    <w:p>
      <w:pPr>
        <w:pStyle w:val="Heading2"/>
      </w:pPr>
      <w:r>
        <w:t xml:space="preserve">Consensus setup</w:t>
      </w:r>
    </w:p>
    <w:p>
      <w:pPr>
        <w:pStyle w:val="FirstParagraph"/>
      </w:pPr>
      <w:r>
        <w:t xml:space="preserve">External estimates currently cluster around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metric</w:t>
            </w:r>
          </w:p>
        </w:tc>
        <w:tc>
          <w:tcPr/>
          <w:p>
            <w:pPr>
              <w:pStyle w:val="Compact"/>
              <w:jc w:val="right"/>
            </w:pPr>
            <w:r>
              <w:t xml:space="preserve">Consensus</w:t>
            </w:r>
          </w:p>
        </w:tc>
        <w:tc>
          <w:tcPr/>
          <w:p>
            <w:pPr>
              <w:pStyle w:val="Compact"/>
              <w:jc w:val="right"/>
            </w:pPr>
            <w:r>
              <w:t xml:space="preserve">Q2 2025</w:t>
            </w:r>
          </w:p>
        </w:tc>
        <w:tc>
          <w:tcPr/>
          <w:p>
            <w:pPr>
              <w:pStyle w:val="Compact"/>
              <w:jc w:val="right"/>
            </w:pPr>
            <w:r>
              <w:t xml:space="preserve">Implied change</w:t>
            </w:r>
          </w:p>
        </w:tc>
      </w:tr>
      <w:tr>
        <w:tc>
          <w:tcPr/>
          <w:p>
            <w:pPr>
              <w:pStyle w:val="Compact"/>
            </w:pPr>
            <w:r>
              <w:t xml:space="preserve">Revenue</w:t>
            </w:r>
          </w:p>
        </w:tc>
        <w:tc>
          <w:tcPr/>
          <w:p>
            <w:pPr>
              <w:pStyle w:val="Compact"/>
              <w:jc w:val="right"/>
            </w:pPr>
            <m:oMath>
              <m:r>
                <m:t>1.09</m:t>
              </m:r>
              <m:r>
                <m:rPr>
                  <m:sty m:val="p"/>
                </m:rPr>
                <m:t>–</m:t>
              </m:r>
            </m:oMath>
            <w:r>
              <w:rPr>
                <w:b/>
                <w:bCs/>
              </w:rPr>
              <w:t xml:space="preserve">1.10 billion</w:t>
            </w:r>
          </w:p>
        </w:tc>
        <w:tc>
          <w:tcPr/>
          <w:p>
            <w:pPr>
              <w:pStyle w:val="Compact"/>
              <w:jc w:val="right"/>
            </w:pPr>
            <w:r>
              <w:t xml:space="preserve">$999.5 million</w:t>
            </w:r>
          </w:p>
        </w:tc>
        <w:tc>
          <w:tcPr/>
          <w:p>
            <w:pPr>
              <w:pStyle w:val="Compact"/>
              <w:jc w:val="right"/>
            </w:pPr>
            <w:r>
              <w:t xml:space="preserve">Approximately</w:t>
            </w:r>
            <w:r>
              <w:t xml:space="preserve"> </w:t>
            </w:r>
            <w:r>
              <w:rPr>
                <w:b/>
                <w:bCs/>
              </w:rPr>
              <w:t xml:space="preserve">9%–10%</w:t>
            </w:r>
          </w:p>
        </w:tc>
      </w:tr>
      <w:tr>
        <w:tc>
          <w:tcPr/>
          <w:p>
            <w:pPr>
              <w:pStyle w:val="Compact"/>
            </w:pPr>
            <w:r>
              <w:t xml:space="preserve">Adjusted EPS</w:t>
            </w:r>
          </w:p>
        </w:tc>
        <w:tc>
          <w:tcPr/>
          <w:p>
            <w:pPr>
              <w:pStyle w:val="Compact"/>
              <w:jc w:val="right"/>
            </w:pPr>
            <w:r>
              <w:rPr>
                <w:b/>
                <w:bCs/>
              </w:rPr>
              <w:t xml:space="preserve">$0.34</w:t>
            </w:r>
          </w:p>
        </w:tc>
        <w:tc>
          <w:tcPr/>
          <w:p>
            <w:pPr>
              <w:pStyle w:val="Compact"/>
              <w:jc w:val="right"/>
            </w:pPr>
            <w:r>
              <w:t xml:space="preserve">$0.30</w:t>
            </w:r>
          </w:p>
        </w:tc>
        <w:tc>
          <w:tcPr/>
          <w:p>
            <w:pPr>
              <w:pStyle w:val="Compact"/>
              <w:jc w:val="right"/>
            </w:pPr>
            <w:r>
              <w:t xml:space="preserve">Approximately</w:t>
            </w:r>
            <w:r>
              <w:t xml:space="preserve"> </w:t>
            </w:r>
            <w:r>
              <w:rPr>
                <w:b/>
                <w:bCs/>
              </w:rPr>
              <w:t xml:space="preserve">13%</w:t>
            </w:r>
          </w:p>
        </w:tc>
      </w:tr>
      <w:tr>
        <w:tc>
          <w:tcPr/>
          <w:p>
            <w:pPr>
              <w:pStyle w:val="Compact"/>
            </w:pPr>
            <w:r>
              <w:t xml:space="preserve">Adjusted EBITDA</w:t>
            </w:r>
          </w:p>
        </w:tc>
        <w:tc>
          <w:tcPr/>
          <w:p>
            <w:pPr>
              <w:pStyle w:val="Compact"/>
              <w:jc w:val="right"/>
            </w:pPr>
            <w:r>
              <w:t xml:space="preserve">Approximately</w:t>
            </w:r>
            <w:r>
              <w:t xml:space="preserve"> </w:t>
            </w:r>
            <w:r>
              <w:rPr>
                <w:b/>
                <w:bCs/>
              </w:rPr>
              <w:t xml:space="preserve">$248 million</w:t>
            </w:r>
          </w:p>
        </w:tc>
        <w:tc>
          <w:tcPr/>
          <w:p>
            <w:pPr>
              <w:pStyle w:val="Compact"/>
              <w:jc w:val="right"/>
            </w:pPr>
            <w:r>
              <w:t xml:space="preserve">$231.2 million</w:t>
            </w:r>
          </w:p>
        </w:tc>
        <w:tc>
          <w:tcPr/>
          <w:p>
            <w:pPr>
              <w:pStyle w:val="Compact"/>
              <w:jc w:val="right"/>
            </w:pPr>
            <w:r>
              <w:t xml:space="preserve">Approximately</w:t>
            </w:r>
            <w:r>
              <w:t xml:space="preserve"> </w:t>
            </w:r>
            <w:r>
              <w:rPr>
                <w:b/>
                <w:bCs/>
              </w:rPr>
              <w:t xml:space="preserve">7%</w:t>
            </w:r>
          </w:p>
        </w:tc>
      </w:tr>
      <w:tr>
        <w:tc>
          <w:tcPr/>
          <w:p>
            <w:pPr>
              <w:pStyle w:val="Compact"/>
            </w:pPr>
            <w:r>
              <w:t xml:space="preserve">Implied adjusted EBITDA margin</w:t>
            </w:r>
          </w:p>
        </w:tc>
        <w:tc>
          <w:tcPr/>
          <w:p>
            <w:pPr>
              <w:pStyle w:val="Compact"/>
              <w:jc w:val="right"/>
            </w:pPr>
            <w:r>
              <w:t xml:space="preserve">Approximately</w:t>
            </w:r>
            <w:r>
              <w:t xml:space="preserve"> </w:t>
            </w:r>
            <w:r>
              <w:rPr>
                <w:b/>
                <w:bCs/>
              </w:rPr>
              <w:t xml:space="preserve">22.6%</w:t>
            </w:r>
          </w:p>
        </w:tc>
        <w:tc>
          <w:tcPr/>
          <w:p>
            <w:pPr>
              <w:pStyle w:val="Compact"/>
              <w:jc w:val="right"/>
            </w:pPr>
            <w:r>
              <w:t xml:space="preserve">23.1%</w:t>
            </w:r>
          </w:p>
        </w:tc>
        <w:tc>
          <w:tcPr/>
          <w:p>
            <w:pPr>
              <w:pStyle w:val="Compact"/>
              <w:jc w:val="right"/>
            </w:pPr>
            <w:r>
              <w:t xml:space="preserve">Approximately</w:t>
            </w:r>
            <w:r>
              <w:t xml:space="preserve"> </w:t>
            </w:r>
            <w:r>
              <w:rPr>
                <w:b/>
                <w:bCs/>
              </w:rPr>
              <w:t xml:space="preserve">50 bps lower</w:t>
            </w:r>
          </w:p>
        </w:tc>
      </w:tr>
    </w:tbl>
    <w:p>
      <w:pPr>
        <w:pStyle w:val="BodyText"/>
      </w:pPr>
      <w:r>
        <w:t xml:space="preserve">Consensus data are drawn from third-party estimate aggregators and may vary slightly by provider. (</w:t>
      </w:r>
      <w:hyperlink r:id="rId11">
        <w:r>
          <w:rPr>
            <w:rStyle w:val="Hyperlink"/>
          </w:rPr>
          <w:t xml:space="preserve">benzinga.com</w:t>
        </w:r>
      </w:hyperlink>
      <w:r>
        <w:t xml:space="preserve">)</w:t>
      </w:r>
    </w:p>
    <w:p>
      <w:pPr>
        <w:pStyle w:val="BodyText"/>
      </w:pPr>
      <w:r>
        <w:t xml:space="preserve">The comparison is reasonably demanding on the top line but still appears cautious on profitability. Rollins generated $999.5 million of revenue, $231 million of adjusted EBITDA, and $0.30 of adjusted EPS in Q2 2025. (</w:t>
      </w:r>
      <w:hyperlink r:id="rId12">
        <w:r>
          <w:rPr>
            <w:rStyle w:val="Hyperlink"/>
          </w:rPr>
          <w:t xml:space="preserve">rollins.com</w:t>
        </w:r>
      </w:hyperlink>
      <w:r>
        <w:t xml:space="preserve">)</w:t>
      </w:r>
    </w:p>
    <w:bookmarkEnd w:id="13"/>
    <w:bookmarkStart w:id="19" w:name="X982caac764efde10489df69b7cb179dc3bcbac8"/>
    <w:p>
      <w:pPr>
        <w:pStyle w:val="Heading2"/>
      </w:pPr>
      <w:r>
        <w:t xml:space="preserve">1. Organic growth is the most important top-line metric</w:t>
      </w:r>
    </w:p>
    <w:p>
      <w:pPr>
        <w:pStyle w:val="FirstParagraph"/>
      </w:pPr>
      <w:r>
        <w:t xml:space="preserve">Q1 revenue increased 10.2%, including</w:t>
      </w:r>
      <w:r>
        <w:t xml:space="preserve"> </w:t>
      </w:r>
      <w:r>
        <w:rPr>
          <w:b/>
          <w:bCs/>
        </w:rPr>
        <w:t xml:space="preserve">6.6% organic growth</w:t>
      </w:r>
      <w:r>
        <w:t xml:space="preserve"> </w:t>
      </w:r>
      <w:r>
        <w:t xml:space="preserve">and 3.6 percentage points from acquisitions. More encouragingly, organic growth exceeded 8% in March after unfavorable January weather. However, at the May 14 Investor Day, management said organic growth through the first four months of 2026 was still only around</w:t>
      </w:r>
      <w:r>
        <w:t xml:space="preserve"> </w:t>
      </w:r>
      <w:r>
        <w:rPr>
          <w:b/>
          <w:bCs/>
        </w:rPr>
        <w:t xml:space="preserve">6.5%–7%</w:t>
      </w:r>
      <w:r>
        <w:t xml:space="preserve">. (</w:t>
      </w:r>
      <w:hyperlink r:id="rId14">
        <w:r>
          <w:rPr>
            <w:rStyle w:val="Hyperlink"/>
          </w:rPr>
          <w:t xml:space="preserve">rollins.com</w:t>
        </w:r>
      </w:hyperlink>
      <w:r>
        <w:t xml:space="preserve">)</w:t>
      </w:r>
    </w:p>
    <w:p>
      <w:pPr>
        <w:pStyle w:val="BodyText"/>
      </w:pPr>
      <w:r>
        <w:t xml:space="preserve">That creates a clear test for Q2:</w:t>
      </w:r>
    </w:p>
    <w:p>
      <w:pPr>
        <w:pStyle w:val="Compact"/>
        <w:numPr>
          <w:ilvl w:val="0"/>
          <w:numId w:val="1002"/>
        </w:numPr>
      </w:pPr>
      <w:r>
        <w:rPr>
          <w:b/>
          <w:bCs/>
        </w:rPr>
        <w:t xml:space="preserve">Above 7.5% organic:</w:t>
      </w:r>
      <w:r>
        <w:t xml:space="preserve"> </w:t>
      </w:r>
      <w:r>
        <w:t xml:space="preserve">Strong evidence that March’s acceleration was sustainable.</w:t>
      </w:r>
    </w:p>
    <w:p>
      <w:pPr>
        <w:pStyle w:val="Compact"/>
        <w:numPr>
          <w:ilvl w:val="0"/>
          <w:numId w:val="1002"/>
        </w:numPr>
      </w:pPr>
      <w:r>
        <w:rPr>
          <w:b/>
          <w:bCs/>
        </w:rPr>
        <w:t xml:space="preserve">Around 7%:</w:t>
      </w:r>
      <w:r>
        <w:t xml:space="preserve"> </w:t>
      </w:r>
      <w:r>
        <w:t xml:space="preserve">Sufficient to maintain the annual framework, though not a major upside surprise.</w:t>
      </w:r>
    </w:p>
    <w:p>
      <w:pPr>
        <w:pStyle w:val="Compact"/>
        <w:numPr>
          <w:ilvl w:val="0"/>
          <w:numId w:val="1002"/>
        </w:numPr>
      </w:pPr>
      <w:r>
        <w:rPr>
          <w:b/>
          <w:bCs/>
        </w:rPr>
        <w:t xml:space="preserve">Below 6.5%:</w:t>
      </w:r>
      <w:r>
        <w:t xml:space="preserve"> </w:t>
      </w:r>
      <w:r>
        <w:t xml:space="preserve">Would make the 7%–8% full-year objective harder to reach and could suggest that March included weather-related catch-up.</w:t>
      </w:r>
    </w:p>
    <w:bookmarkStart w:id="15" w:name="residential-is-the-swing-factor"/>
    <w:p>
      <w:pPr>
        <w:pStyle w:val="Heading3"/>
      </w:pPr>
      <w:r>
        <w:t xml:space="preserve">Residential is the swing factor</w:t>
      </w:r>
    </w:p>
    <w:p>
      <w:pPr>
        <w:pStyle w:val="FirstParagraph"/>
      </w:pPr>
      <w:r>
        <w:t xml:space="preserve">Residential organic growth was only 4.2% in Q1, but management said it exceeded 7% in March. Because residential demand is more seasonal and weather-sensitive than commercial demand, this segment should provide the clearest evidence of whether peak pest season developed as expected.</w:t>
      </w:r>
    </w:p>
    <w:p>
      <w:pPr>
        <w:pStyle w:val="BodyText"/>
      </w:pPr>
      <w:r>
        <w:t xml:space="preserve">Watch for commentary on:</w:t>
      </w:r>
    </w:p>
    <w:p>
      <w:pPr>
        <w:pStyle w:val="Compact"/>
        <w:numPr>
          <w:ilvl w:val="0"/>
          <w:numId w:val="1003"/>
        </w:numPr>
      </w:pPr>
      <w:r>
        <w:t xml:space="preserve">New customer starts and lead volumes</w:t>
      </w:r>
    </w:p>
    <w:p>
      <w:pPr>
        <w:pStyle w:val="Compact"/>
        <w:numPr>
          <w:ilvl w:val="0"/>
          <w:numId w:val="1003"/>
        </w:numPr>
      </w:pPr>
      <w:r>
        <w:t xml:space="preserve">Recurring versus one-time service growth</w:t>
      </w:r>
    </w:p>
    <w:p>
      <w:pPr>
        <w:pStyle w:val="Compact"/>
        <w:numPr>
          <w:ilvl w:val="0"/>
          <w:numId w:val="1003"/>
        </w:numPr>
      </w:pPr>
      <w:r>
        <w:t xml:space="preserve">Customer retention</w:t>
      </w:r>
    </w:p>
    <w:p>
      <w:pPr>
        <w:pStyle w:val="Compact"/>
        <w:numPr>
          <w:ilvl w:val="0"/>
          <w:numId w:val="1003"/>
        </w:numPr>
      </w:pPr>
      <w:r>
        <w:t xml:space="preserve">Pricing versus unit growth</w:t>
      </w:r>
    </w:p>
    <w:p>
      <w:pPr>
        <w:pStyle w:val="Compact"/>
        <w:numPr>
          <w:ilvl w:val="0"/>
          <w:numId w:val="1003"/>
        </w:numPr>
      </w:pPr>
      <w:r>
        <w:t xml:space="preserve">Digital marketing conversion rates</w:t>
      </w:r>
    </w:p>
    <w:bookmarkEnd w:id="15"/>
    <w:bookmarkStart w:id="17" w:name="X9c62443d266c01070b4b5ff0fb03af4632a34ce"/>
    <w:p>
      <w:pPr>
        <w:pStyle w:val="Heading3"/>
      </w:pPr>
      <w:r>
        <w:t xml:space="preserve">Commercial should remain the steadier contributor</w:t>
      </w:r>
    </w:p>
    <w:p>
      <w:pPr>
        <w:pStyle w:val="FirstParagraph"/>
      </w:pPr>
      <w:r>
        <w:t xml:space="preserve">Commercial organic revenue increased 7.7% in Q1. Rollins has invested heavily in dedicated commercial sales resources, branch specialization, and high-value verticals such as food processing, logistics, healthcare, and hospitality. Management has indicated that commercial sales investments can require six to twelve months to reach fuller productivity, making Q2 an important progress check. (</w:t>
      </w:r>
      <w:hyperlink r:id="rId16">
        <w:r>
          <w:rPr>
            <w:rStyle w:val="Hyperlink"/>
          </w:rPr>
          <w:t xml:space="preserve">d1io3yog0oux5.cloudfront.net</w:t>
        </w:r>
      </w:hyperlink>
      <w:r>
        <w:t xml:space="preserve">)</w:t>
      </w:r>
    </w:p>
    <w:bookmarkEnd w:id="17"/>
    <w:bookmarkStart w:id="18" w:name="X4d5fbbbe0fc9b60d668d620a69e2792b3186bc7"/>
    <w:p>
      <w:pPr>
        <w:pStyle w:val="Heading3"/>
      </w:pPr>
      <w:r>
        <w:t xml:space="preserve">Termite and ancillary services remain the upside lever</w:t>
      </w:r>
    </w:p>
    <w:p>
      <w:pPr>
        <w:pStyle w:val="FirstParagraph"/>
      </w:pPr>
      <w:r>
        <w:t xml:space="preserve">Termite and ancillary organic growth was nearly 10% in Q1. At Investor Day, Rollins said ancillary services represent about 10% of revenue but reach less than 5% of the customer base, leaving substantial room for cross-selling across non-Orkin brands. (</w:t>
      </w:r>
      <w:hyperlink r:id="rId16">
        <w:r>
          <w:rPr>
            <w:rStyle w:val="Hyperlink"/>
          </w:rPr>
          <w:t xml:space="preserve">d1io3yog0oux5.cloudfront.net</w:t>
        </w:r>
      </w:hyperlink>
      <w:r>
        <w:t xml:space="preserve">)</w:t>
      </w:r>
    </w:p>
    <w:p>
      <w:pPr>
        <w:pStyle w:val="BodyText"/>
      </w:pPr>
      <w:r>
        <w:t xml:space="preserve">This category is important because it can support both revenue growth and customer retention. Continued double-digit growth would strengthen the case that Rollins can sustain organic growth above the broader pest-control market.</w:t>
      </w:r>
    </w:p>
    <w:bookmarkEnd w:id="18"/>
    <w:bookmarkEnd w:id="19"/>
    <w:bookmarkStart w:id="22" w:name="Xd15c0c8605fd2cc0b2ad33ab81f6210582a8ac9"/>
    <w:p>
      <w:pPr>
        <w:pStyle w:val="Heading2"/>
      </w:pPr>
      <w:r>
        <w:t xml:space="preserve">2. The bigger debate is margin recovery</w:t>
      </w:r>
    </w:p>
    <w:p>
      <w:pPr>
        <w:pStyle w:val="FirstParagraph"/>
      </w:pPr>
      <w:r>
        <w:t xml:space="preserve">Q1 adjusted EBITDA margin declined 110 basis points to 19.8%. The pressures included:</w:t>
      </w:r>
    </w:p>
    <w:p>
      <w:pPr>
        <w:pStyle w:val="Compact"/>
        <w:numPr>
          <w:ilvl w:val="0"/>
          <w:numId w:val="1004"/>
        </w:numPr>
      </w:pPr>
      <w:r>
        <w:t xml:space="preserve">Higher insurance and claims expense</w:t>
      </w:r>
    </w:p>
    <w:p>
      <w:pPr>
        <w:pStyle w:val="Compact"/>
        <w:numPr>
          <w:ilvl w:val="0"/>
          <w:numId w:val="1004"/>
        </w:numPr>
      </w:pPr>
      <w:r>
        <w:t xml:space="preserve">Technicians hired ahead of peak season</w:t>
      </w:r>
    </w:p>
    <w:p>
      <w:pPr>
        <w:pStyle w:val="Compact"/>
        <w:numPr>
          <w:ilvl w:val="0"/>
          <w:numId w:val="1004"/>
        </w:numPr>
      </w:pPr>
      <w:r>
        <w:t xml:space="preserve">Incremental sales and marketing investment</w:t>
      </w:r>
    </w:p>
    <w:p>
      <w:pPr>
        <w:pStyle w:val="Compact"/>
        <w:numPr>
          <w:ilvl w:val="0"/>
          <w:numId w:val="1004"/>
        </w:numPr>
      </w:pPr>
      <w:r>
        <w:t xml:space="preserve">Lower gains on vehicle disposals</w:t>
      </w:r>
    </w:p>
    <w:p>
      <w:pPr>
        <w:pStyle w:val="Compact"/>
        <w:numPr>
          <w:ilvl w:val="0"/>
          <w:numId w:val="1004"/>
        </w:numPr>
      </w:pPr>
      <w:r>
        <w:t xml:space="preserve">Weak early-quarter volumes that limited labor leverage</w:t>
      </w:r>
    </w:p>
    <w:p>
      <w:pPr>
        <w:pStyle w:val="FirstParagraph"/>
      </w:pPr>
      <w:r>
        <w:t xml:space="preserve">Management expected peak-season volume and improved fleet comparisons to produce better profitability in Q2 and Q3. (</w:t>
      </w:r>
      <w:hyperlink r:id="rId14">
        <w:r>
          <w:rPr>
            <w:rStyle w:val="Hyperlink"/>
          </w:rPr>
          <w:t xml:space="preserve">rollins.com</w:t>
        </w:r>
      </w:hyperlink>
      <w:r>
        <w:t xml:space="preserve">)</w:t>
      </w:r>
    </w:p>
    <w:p>
      <w:pPr>
        <w:pStyle w:val="BodyText"/>
      </w:pPr>
      <w:r>
        <w:t xml:space="preserve">At Investor Day, management maintained a</w:t>
      </w:r>
      <w:r>
        <w:t xml:space="preserve"> </w:t>
      </w:r>
      <w:r>
        <w:rPr>
          <w:b/>
          <w:bCs/>
        </w:rPr>
        <w:t xml:space="preserve">30%–35% medium-term incremental-margin objective</w:t>
      </w:r>
      <w:r>
        <w:t xml:space="preserve">, although former CFO Ken Krause said</w:t>
      </w:r>
      <w:r>
        <w:t xml:space="preserve"> </w:t>
      </w:r>
      <w:r>
        <w:rPr>
          <w:b/>
          <w:bCs/>
        </w:rPr>
        <w:t xml:space="preserve">25%–30% for 2026</w:t>
      </w:r>
      <w:r>
        <w:t xml:space="preserve"> </w:t>
      </w:r>
      <w:r>
        <w:t xml:space="preserve">was a more realistic near-term range. Rollins also identified potential gross-margin benefits from better employee retention, procurement, fleet efficiency, and CPI-plus pricing. (</w:t>
      </w:r>
      <w:hyperlink r:id="rId16">
        <w:r>
          <w:rPr>
            <w:rStyle w:val="Hyperlink"/>
          </w:rPr>
          <w:t xml:space="preserve">d1io3yog0oux5.cloudfront.net</w:t>
        </w:r>
      </w:hyperlink>
      <w:r>
        <w:t xml:space="preserve">)</w:t>
      </w:r>
    </w:p>
    <w:bookmarkStart w:id="20" w:name="X8704160b300c01131ec1d203c2e1582c7d845bc"/>
    <w:p>
      <w:pPr>
        <w:pStyle w:val="Heading3"/>
      </w:pPr>
      <w:r>
        <w:t xml:space="preserve">What would count as a strong margin result?</w:t>
      </w:r>
    </w:p>
    <w:p>
      <w:pPr>
        <w:pStyle w:val="FirstParagraph"/>
      </w:pPr>
      <w:r>
        <w:t xml:space="preserve">A favorable report would show:</w:t>
      </w:r>
    </w:p>
    <w:p>
      <w:pPr>
        <w:pStyle w:val="Compact"/>
        <w:numPr>
          <w:ilvl w:val="0"/>
          <w:numId w:val="1005"/>
        </w:numPr>
      </w:pPr>
      <w:r>
        <w:t xml:space="preserve">Adjusted EBITDA margin near or above the 23.1% recorded in Q2 2025</w:t>
      </w:r>
    </w:p>
    <w:p>
      <w:pPr>
        <w:pStyle w:val="Compact"/>
        <w:numPr>
          <w:ilvl w:val="0"/>
          <w:numId w:val="1005"/>
        </w:numPr>
      </w:pPr>
      <w:r>
        <w:t xml:space="preserve">Meaningful labor leverage as peak-season volume absorbs pre-hired technicians</w:t>
      </w:r>
    </w:p>
    <w:p>
      <w:pPr>
        <w:pStyle w:val="Compact"/>
        <w:numPr>
          <w:ilvl w:val="0"/>
          <w:numId w:val="1005"/>
        </w:numPr>
      </w:pPr>
      <w:r>
        <w:t xml:space="preserve">Lower selling expense as a percentage of revenue</w:t>
      </w:r>
    </w:p>
    <w:p>
      <w:pPr>
        <w:pStyle w:val="Compact"/>
        <w:numPr>
          <w:ilvl w:val="0"/>
          <w:numId w:val="1005"/>
        </w:numPr>
      </w:pPr>
      <w:r>
        <w:t xml:space="preserve">Moderation in insurance and claims expense</w:t>
      </w:r>
    </w:p>
    <w:p>
      <w:pPr>
        <w:pStyle w:val="Compact"/>
        <w:numPr>
          <w:ilvl w:val="0"/>
          <w:numId w:val="1005"/>
        </w:numPr>
      </w:pPr>
      <w:r>
        <w:t xml:space="preserve">Positive price/cost performance</w:t>
      </w:r>
    </w:p>
    <w:p>
      <w:pPr>
        <w:pStyle w:val="FirstParagraph"/>
      </w:pPr>
      <w:r>
        <w:t xml:space="preserve">Consensus appears to allow for another roughly 50-basis-point decline in adjusted EBITDA margin. Therefore, even a roughly flat year-over-year margin could be viewed positively, particularly if organic growth is at least 7%.</w:t>
      </w:r>
    </w:p>
    <w:bookmarkEnd w:id="20"/>
    <w:bookmarkStart w:id="21" w:name="X06ebf28fdc07a02d63beddf3ebb65ed73bf75cd"/>
    <w:p>
      <w:pPr>
        <w:pStyle w:val="Heading3"/>
      </w:pPr>
      <w:r>
        <w:t xml:space="preserve">Insurance and claims remain the main wildcard</w:t>
      </w:r>
    </w:p>
    <w:p>
      <w:pPr>
        <w:pStyle w:val="FirstParagraph"/>
      </w:pPr>
      <w:r>
        <w:t xml:space="preserve">Claims expense has been volatile because older auto and liability claims can take several years to mature. Management has reported better collision and injury frequency, but those operational improvements may take time to appear in reported claims expense. Investors should distinguish between:</w:t>
      </w:r>
    </w:p>
    <w:p>
      <w:pPr>
        <w:pStyle w:val="Compact"/>
        <w:numPr>
          <w:ilvl w:val="0"/>
          <w:numId w:val="1006"/>
        </w:numPr>
      </w:pPr>
      <w:r>
        <w:rPr>
          <w:b/>
          <w:bCs/>
        </w:rPr>
        <w:t xml:space="preserve">New-claim frequency</w:t>
      </w:r>
      <w:r>
        <w:t xml:space="preserve">, which appears to be improving; and</w:t>
      </w:r>
    </w:p>
    <w:p>
      <w:pPr>
        <w:pStyle w:val="Compact"/>
        <w:numPr>
          <w:ilvl w:val="0"/>
          <w:numId w:val="1006"/>
        </w:numPr>
      </w:pPr>
      <w:r>
        <w:rPr>
          <w:b/>
          <w:bCs/>
        </w:rPr>
        <w:t xml:space="preserve">Reserve development on older claims</w:t>
      </w:r>
      <w:r>
        <w:t xml:space="preserve">, which can still create quarterly volatility.</w:t>
      </w:r>
    </w:p>
    <w:p>
      <w:pPr>
        <w:pStyle w:val="FirstParagraph"/>
      </w:pPr>
      <w:r>
        <w:t xml:space="preserve">Another material claims headwind would weaken confidence in the 2026 incremental-margin objective.</w:t>
      </w:r>
    </w:p>
    <w:bookmarkEnd w:id="21"/>
    <w:bookmarkEnd w:id="22"/>
    <w:bookmarkStart w:id="24" w:name="Xf5b0f16fe060b9eb1d3d539396919f02b693ed6"/>
    <w:p>
      <w:pPr>
        <w:pStyle w:val="Heading2"/>
      </w:pPr>
      <w:r>
        <w:t xml:space="preserve">3. Acquisition growth should remain supportive</w:t>
      </w:r>
    </w:p>
    <w:p>
      <w:pPr>
        <w:pStyle w:val="FirstParagraph"/>
      </w:pPr>
      <w:r>
        <w:t xml:space="preserve">Rollins expects acquisitions to contribute</w:t>
      </w:r>
      <w:r>
        <w:t xml:space="preserve"> </w:t>
      </w:r>
      <w:r>
        <w:rPr>
          <w:b/>
          <w:bCs/>
        </w:rPr>
        <w:t xml:space="preserve">2%–3% of 2026 revenue growth</w:t>
      </w:r>
      <w:r>
        <w:t xml:space="preserve">. Q2 includes the April 1 acquisition of Romex Pest Control, acquired for $90 million plus up to $10 million of contingent consideration. Romex has more than 200 employees and provides Rollins with entry points into additional U.S. markets. (</w:t>
      </w:r>
      <w:hyperlink r:id="rId23">
        <w:r>
          <w:rPr>
            <w:rStyle w:val="Hyperlink"/>
          </w:rPr>
          <w:t xml:space="preserve">rollins.com</w:t>
        </w:r>
      </w:hyperlink>
      <w:r>
        <w:t xml:space="preserve">)</w:t>
      </w:r>
    </w:p>
    <w:p>
      <w:pPr>
        <w:pStyle w:val="BodyText"/>
      </w:pPr>
      <w:r>
        <w:t xml:space="preserve">Investors should look for:</w:t>
      </w:r>
    </w:p>
    <w:p>
      <w:pPr>
        <w:pStyle w:val="Compact"/>
        <w:numPr>
          <w:ilvl w:val="0"/>
          <w:numId w:val="1007"/>
        </w:numPr>
      </w:pPr>
      <w:r>
        <w:t xml:space="preserve">Romex’s initial revenue contribution</w:t>
      </w:r>
    </w:p>
    <w:p>
      <w:pPr>
        <w:pStyle w:val="Compact"/>
        <w:numPr>
          <w:ilvl w:val="0"/>
          <w:numId w:val="1007"/>
        </w:numPr>
      </w:pPr>
      <w:r>
        <w:t xml:space="preserve">Integration costs or acquisition-related amortization</w:t>
      </w:r>
    </w:p>
    <w:p>
      <w:pPr>
        <w:pStyle w:val="Compact"/>
        <w:numPr>
          <w:ilvl w:val="0"/>
          <w:numId w:val="1007"/>
        </w:numPr>
      </w:pPr>
      <w:r>
        <w:t xml:space="preserve">Commentary on Romex margins and cross-selling potential</w:t>
      </w:r>
    </w:p>
    <w:p>
      <w:pPr>
        <w:pStyle w:val="Compact"/>
        <w:numPr>
          <w:ilvl w:val="0"/>
          <w:numId w:val="1007"/>
        </w:numPr>
      </w:pPr>
      <w:r>
        <w:t xml:space="preserve">Whether the broader acquisition pipeline remains active</w:t>
      </w:r>
    </w:p>
    <w:p>
      <w:pPr>
        <w:pStyle w:val="Compact"/>
        <w:numPr>
          <w:ilvl w:val="0"/>
          <w:numId w:val="1007"/>
        </w:numPr>
      </w:pPr>
      <w:r>
        <w:t xml:space="preserve">Any revision to the 2%–3% M&amp;A contribution</w:t>
      </w:r>
    </w:p>
    <w:p>
      <w:pPr>
        <w:pStyle w:val="FirstParagraph"/>
      </w:pPr>
      <w:r>
        <w:t xml:space="preserve">A higher acquisition contribution is not automatically bullish if it is accompanied by weaker organic growth or margin dilution.</w:t>
      </w:r>
    </w:p>
    <w:bookmarkEnd w:id="24"/>
    <w:bookmarkStart w:id="26" w:name="Xebaae59b5b210c4cdc56803a71c0b31b4e9b771"/>
    <w:p>
      <w:pPr>
        <w:pStyle w:val="Heading2"/>
      </w:pPr>
      <w:r>
        <w:t xml:space="preserve">4. The new CFO’s messaging matters</w:t>
      </w:r>
    </w:p>
    <w:p>
      <w:pPr>
        <w:pStyle w:val="FirstParagraph"/>
      </w:pPr>
      <w:r>
        <w:t xml:space="preserve">This will be William Harkins’ first earnings cycle as CFO after succeeding Ken Krause on June 15. Harkins was previously Rollins’ chief accounting officer. The company stated that Krause left to pursue another opportunity, that the departure did not involve a disagreement, and that he will provide transition support through September 30. (</w:t>
      </w:r>
      <w:hyperlink r:id="rId25">
        <w:r>
          <w:rPr>
            <w:rStyle w:val="Hyperlink"/>
          </w:rPr>
          <w:t xml:space="preserve">rollins.com</w:t>
        </w:r>
      </w:hyperlink>
      <w:r>
        <w:t xml:space="preserve">)</w:t>
      </w:r>
    </w:p>
    <w:p>
      <w:pPr>
        <w:pStyle w:val="BodyText"/>
      </w:pPr>
      <w:r>
        <w:t xml:space="preserve">The market will be listening for continuity in:</w:t>
      </w:r>
    </w:p>
    <w:p>
      <w:pPr>
        <w:pStyle w:val="Compact"/>
        <w:numPr>
          <w:ilvl w:val="0"/>
          <w:numId w:val="1008"/>
        </w:numPr>
      </w:pPr>
      <w:r>
        <w:t xml:space="preserve">Definitions and disclosure of organic growth</w:t>
      </w:r>
    </w:p>
    <w:p>
      <w:pPr>
        <w:pStyle w:val="Compact"/>
        <w:numPr>
          <w:ilvl w:val="0"/>
          <w:numId w:val="1008"/>
        </w:numPr>
      </w:pPr>
      <w:r>
        <w:t xml:space="preserve">The 7%–8% organic-growth framework</w:t>
      </w:r>
    </w:p>
    <w:p>
      <w:pPr>
        <w:pStyle w:val="Compact"/>
        <w:numPr>
          <w:ilvl w:val="0"/>
          <w:numId w:val="1008"/>
        </w:numPr>
      </w:pPr>
      <w:r>
        <w:t xml:space="preserve">The 25%–30% near-term incremental-margin expectation</w:t>
      </w:r>
    </w:p>
    <w:p>
      <w:pPr>
        <w:pStyle w:val="Compact"/>
        <w:numPr>
          <w:ilvl w:val="0"/>
          <w:numId w:val="1008"/>
        </w:numPr>
      </w:pPr>
      <w:r>
        <w:t xml:space="preserve">Free-cash-flow conversion above 100%</w:t>
      </w:r>
    </w:p>
    <w:p>
      <w:pPr>
        <w:pStyle w:val="Compact"/>
        <w:numPr>
          <w:ilvl w:val="0"/>
          <w:numId w:val="1008"/>
        </w:numPr>
      </w:pPr>
      <w:r>
        <w:t xml:space="preserve">Capital allocation and leverage</w:t>
      </w:r>
    </w:p>
    <w:p>
      <w:pPr>
        <w:pStyle w:val="Compact"/>
        <w:numPr>
          <w:ilvl w:val="0"/>
          <w:numId w:val="1008"/>
        </w:numPr>
      </w:pPr>
      <w:r>
        <w:t xml:space="preserve">Investor communication under the new finance leadership</w:t>
      </w:r>
    </w:p>
    <w:p>
      <w:pPr>
        <w:pStyle w:val="FirstParagraph"/>
      </w:pPr>
      <w:r>
        <w:t xml:space="preserve">A clear, detailed presentation from Harkins would help reduce transition uncertainty. Any retreat from the targets presented at the May Investor Day would be a material negative.</w:t>
      </w:r>
    </w:p>
    <w:bookmarkEnd w:id="26"/>
    <w:bookmarkStart w:id="27" w:name="X79441a0461e51c421c4a17583bd0c9996b8a297"/>
    <w:p>
      <w:pPr>
        <w:pStyle w:val="Heading2"/>
      </w:pPr>
      <w:r>
        <w:t xml:space="preserve">5. Cash flow should begin normalizing</w:t>
      </w:r>
    </w:p>
    <w:p>
      <w:pPr>
        <w:pStyle w:val="FirstParagraph"/>
      </w:pPr>
      <w:r>
        <w:t xml:space="preserve">Q1 free cash flow declined because of approximately $40 million in tax-payment timing and $9 million associated with the shift to semiannual interest payments. The underlying business still converted more than 100% of net income into free cash flow. (</w:t>
      </w:r>
      <w:hyperlink r:id="rId14">
        <w:r>
          <w:rPr>
            <w:rStyle w:val="Hyperlink"/>
          </w:rPr>
          <w:t xml:space="preserve">rollins.com</w:t>
        </w:r>
      </w:hyperlink>
      <w:r>
        <w:t xml:space="preserve">)</w:t>
      </w:r>
    </w:p>
    <w:p>
      <w:pPr>
        <w:pStyle w:val="BodyText"/>
      </w:pPr>
      <w:r>
        <w:t xml:space="preserve">Q2 cash flow will be worth monitoring for evidence that these timing effects are beginning to normalize. The broader investment case depends on Rollins continuing to convert earnings into cash at greater than 100%, providing funding for acquisitions, dividends, and occasional repurchases.</w:t>
      </w:r>
    </w:p>
    <w:bookmarkEnd w:id="27"/>
    <w:bookmarkStart w:id="28" w:name="valuation-and-market-expectations"/>
    <w:p>
      <w:pPr>
        <w:pStyle w:val="Heading2"/>
      </w:pPr>
      <w:r>
        <w:t xml:space="preserve">Valuation and market expectations</w:t>
      </w:r>
    </w:p>
    <w:p>
      <w:pPr>
        <w:pStyle w:val="FirstParagraph"/>
      </w:pPr>
      <w:r>
        <w:t xml:space="preserve">ROL was recently around</w:t>
      </w:r>
      <w:r>
        <w:t xml:space="preserve"> </w:t>
      </w:r>
      <w:r>
        <w:rPr>
          <w:b/>
          <w:bCs/>
        </w:rPr>
        <w:t xml:space="preserve">$43.86 per share</w:t>
      </w:r>
      <w:r>
        <w:t xml:space="preserve">, with a trailing P/E of approximately</w:t>
      </w:r>
      <w:r>
        <w:t xml:space="preserve"> </w:t>
      </w:r>
      <w:r>
        <w:rPr>
          <w:b/>
          <w:bCs/>
        </w:rPr>
        <w:t xml:space="preserve">40 times</w:t>
      </w:r>
      <w:r>
        <w:t xml:space="preserve">. Despite the stock’s substantial pullback from earlier-2026 levels, the valuation continues to embed confidence in durable organic growth and eventual margin expansion.</w:t>
      </w:r>
    </w:p>
    <w:p>
      <w:pPr>
        <w:pStyle w:val="BodyText"/>
      </w:pPr>
      <w:r>
        <w:t xml:space="preserve">That means the likely market reaction will depend less on a one-cent EPS beat and more on whether management demonstrates that:</w:t>
      </w:r>
    </w:p>
    <w:p>
      <w:pPr>
        <w:pStyle w:val="Compact"/>
        <w:numPr>
          <w:ilvl w:val="0"/>
          <w:numId w:val="1009"/>
        </w:numPr>
      </w:pPr>
      <w:r>
        <w:t xml:space="preserve">Organic growth is returning to or above 7%;</w:t>
      </w:r>
    </w:p>
    <w:p>
      <w:pPr>
        <w:pStyle w:val="Compact"/>
        <w:numPr>
          <w:ilvl w:val="0"/>
          <w:numId w:val="1009"/>
        </w:numPr>
      </w:pPr>
      <w:r>
        <w:t xml:space="preserve">Q1 margin pressures were temporary; and</w:t>
      </w:r>
    </w:p>
    <w:p>
      <w:pPr>
        <w:pStyle w:val="Compact"/>
        <w:numPr>
          <w:ilvl w:val="0"/>
          <w:numId w:val="1009"/>
        </w:numPr>
      </w:pPr>
      <w:r>
        <w:t xml:space="preserve">The long-term compounder framework remains intact.</w:t>
      </w:r>
    </w:p>
    <w:bookmarkEnd w:id="28"/>
    <w:bookmarkStart w:id="32" w:name="earnings-scenarios"/>
    <w:p>
      <w:pPr>
        <w:pStyle w:val="Heading2"/>
      </w:pPr>
      <w:r>
        <w:t xml:space="preserve">Earnings scenarios</w:t>
      </w:r>
    </w:p>
    <w:bookmarkStart w:id="29" w:name="bull-case"/>
    <w:p>
      <w:pPr>
        <w:pStyle w:val="Heading3"/>
      </w:pPr>
      <w:r>
        <w:t xml:space="preserve">Bull case</w:t>
      </w:r>
    </w:p>
    <w:p>
      <w:pPr>
        <w:pStyle w:val="Compact"/>
        <w:numPr>
          <w:ilvl w:val="0"/>
          <w:numId w:val="1010"/>
        </w:numPr>
      </w:pPr>
      <w:r>
        <w:t xml:space="preserve">Organic growth of</w:t>
      </w:r>
      <w:r>
        <w:t xml:space="preserve"> </w:t>
      </w:r>
      <w:r>
        <w:rPr>
          <w:b/>
          <w:bCs/>
        </w:rPr>
        <w:t xml:space="preserve">7.5% or better</w:t>
      </w:r>
    </w:p>
    <w:p>
      <w:pPr>
        <w:pStyle w:val="Compact"/>
        <w:numPr>
          <w:ilvl w:val="0"/>
          <w:numId w:val="1010"/>
        </w:numPr>
      </w:pPr>
      <w:r>
        <w:t xml:space="preserve">Residential growth accelerates materially</w:t>
      </w:r>
    </w:p>
    <w:p>
      <w:pPr>
        <w:pStyle w:val="Compact"/>
        <w:numPr>
          <w:ilvl w:val="0"/>
          <w:numId w:val="1010"/>
        </w:numPr>
      </w:pPr>
      <w:r>
        <w:t xml:space="preserve">Commercial and ancillary growth remain strong</w:t>
      </w:r>
    </w:p>
    <w:p>
      <w:pPr>
        <w:pStyle w:val="Compact"/>
        <w:numPr>
          <w:ilvl w:val="0"/>
          <w:numId w:val="1010"/>
        </w:numPr>
      </w:pPr>
      <w:r>
        <w:t xml:space="preserve">Adjusted EBITDA margin is flat to higher year over year</w:t>
      </w:r>
    </w:p>
    <w:p>
      <w:pPr>
        <w:pStyle w:val="Compact"/>
        <w:numPr>
          <w:ilvl w:val="0"/>
          <w:numId w:val="1010"/>
        </w:numPr>
      </w:pPr>
      <w:r>
        <w:t xml:space="preserve">Claims expense moderates</w:t>
      </w:r>
    </w:p>
    <w:p>
      <w:pPr>
        <w:pStyle w:val="Compact"/>
        <w:numPr>
          <w:ilvl w:val="0"/>
          <w:numId w:val="1010"/>
        </w:numPr>
      </w:pPr>
      <w:r>
        <w:t xml:space="preserve">Management firmly reaffirms its 2026 and medium-term targets</w:t>
      </w:r>
    </w:p>
    <w:p>
      <w:pPr>
        <w:pStyle w:val="FirstParagraph"/>
      </w:pPr>
      <w:r>
        <w:t xml:space="preserve">This would support the argument that Q1’s weak profitability was seasonal and temporary.</w:t>
      </w:r>
    </w:p>
    <w:bookmarkEnd w:id="29"/>
    <w:bookmarkStart w:id="30" w:name="base-case"/>
    <w:p>
      <w:pPr>
        <w:pStyle w:val="Heading3"/>
      </w:pPr>
      <w:r>
        <w:t xml:space="preserve">Base case</w:t>
      </w:r>
    </w:p>
    <w:p>
      <w:pPr>
        <w:pStyle w:val="Compact"/>
        <w:numPr>
          <w:ilvl w:val="0"/>
          <w:numId w:val="1011"/>
        </w:numPr>
      </w:pPr>
      <w:r>
        <w:t xml:space="preserve">Revenue near</w:t>
      </w:r>
      <w:r>
        <w:t xml:space="preserve"> </w:t>
      </w:r>
      <m:oMath>
        <m:r>
          <m:t>1.09</m:t>
        </m:r>
        <m:r>
          <m:rPr>
            <m:sty m:val="p"/>
          </m:rPr>
          <m:t>–</m:t>
        </m:r>
      </m:oMath>
      <w:r>
        <w:t xml:space="preserve">1.10 billion</w:t>
      </w:r>
    </w:p>
    <w:p>
      <w:pPr>
        <w:pStyle w:val="Compact"/>
        <w:numPr>
          <w:ilvl w:val="0"/>
          <w:numId w:val="1011"/>
        </w:numPr>
      </w:pPr>
      <w:r>
        <w:t xml:space="preserve">Organic growth around</w:t>
      </w:r>
      <w:r>
        <w:t xml:space="preserve"> </w:t>
      </w:r>
      <w:r>
        <w:rPr>
          <w:b/>
          <w:bCs/>
        </w:rPr>
        <w:t xml:space="preserve">7%</w:t>
      </w:r>
    </w:p>
    <w:p>
      <w:pPr>
        <w:pStyle w:val="Compact"/>
        <w:numPr>
          <w:ilvl w:val="0"/>
          <w:numId w:val="1011"/>
        </w:numPr>
      </w:pPr>
      <w:r>
        <w:t xml:space="preserve">Adjusted EPS near $0.34</w:t>
      </w:r>
    </w:p>
    <w:p>
      <w:pPr>
        <w:pStyle w:val="Compact"/>
        <w:numPr>
          <w:ilvl w:val="0"/>
          <w:numId w:val="1011"/>
        </w:numPr>
      </w:pPr>
      <w:r>
        <w:t xml:space="preserve">Modest year-over-year margin compression</w:t>
      </w:r>
    </w:p>
    <w:p>
      <w:pPr>
        <w:pStyle w:val="Compact"/>
        <w:numPr>
          <w:ilvl w:val="0"/>
          <w:numId w:val="1011"/>
        </w:numPr>
      </w:pPr>
      <w:r>
        <w:t xml:space="preserve">Full-year targets reaffirmed</w:t>
      </w:r>
    </w:p>
    <w:p>
      <w:pPr>
        <w:pStyle w:val="Compact"/>
        <w:numPr>
          <w:ilvl w:val="0"/>
          <w:numId w:val="1011"/>
        </w:numPr>
      </w:pPr>
      <w:r>
        <w:t xml:space="preserve">Management expects stronger incremental margins in the second half</w:t>
      </w:r>
    </w:p>
    <w:p>
      <w:pPr>
        <w:pStyle w:val="FirstParagraph"/>
      </w:pPr>
      <w:r>
        <w:t xml:space="preserve">This would be an acceptable result, although the stock reaction could depend heavily on margin guidance.</w:t>
      </w:r>
    </w:p>
    <w:bookmarkEnd w:id="30"/>
    <w:bookmarkStart w:id="31" w:name="bear-case"/>
    <w:p>
      <w:pPr>
        <w:pStyle w:val="Heading3"/>
      </w:pPr>
      <w:r>
        <w:t xml:space="preserve">Bear case</w:t>
      </w:r>
    </w:p>
    <w:p>
      <w:pPr>
        <w:pStyle w:val="Compact"/>
        <w:numPr>
          <w:ilvl w:val="0"/>
          <w:numId w:val="1012"/>
        </w:numPr>
      </w:pPr>
      <w:r>
        <w:t xml:space="preserve">Organic growth below</w:t>
      </w:r>
      <w:r>
        <w:t xml:space="preserve"> </w:t>
      </w:r>
      <w:r>
        <w:rPr>
          <w:b/>
          <w:bCs/>
        </w:rPr>
        <w:t xml:space="preserve">6.5%</w:t>
      </w:r>
    </w:p>
    <w:p>
      <w:pPr>
        <w:pStyle w:val="Compact"/>
        <w:numPr>
          <w:ilvl w:val="0"/>
          <w:numId w:val="1012"/>
        </w:numPr>
      </w:pPr>
      <w:r>
        <w:t xml:space="preserve">Residential demand fails to sustain the March acceleration</w:t>
      </w:r>
    </w:p>
    <w:p>
      <w:pPr>
        <w:pStyle w:val="Compact"/>
        <w:numPr>
          <w:ilvl w:val="0"/>
          <w:numId w:val="1012"/>
        </w:numPr>
      </w:pPr>
      <w:r>
        <w:t xml:space="preserve">Insurance and claims remain elevated</w:t>
      </w:r>
    </w:p>
    <w:p>
      <w:pPr>
        <w:pStyle w:val="Compact"/>
        <w:numPr>
          <w:ilvl w:val="0"/>
          <w:numId w:val="1012"/>
        </w:numPr>
      </w:pPr>
      <w:r>
        <w:t xml:space="preserve">Labor and selling investments continue to prevent operating leverage</w:t>
      </w:r>
    </w:p>
    <w:p>
      <w:pPr>
        <w:pStyle w:val="Compact"/>
        <w:numPr>
          <w:ilvl w:val="0"/>
          <w:numId w:val="1012"/>
        </w:numPr>
      </w:pPr>
      <w:r>
        <w:t xml:space="preserve">Management becomes less confident in 7%–8% organic growth or 25%–30% incremental margins</w:t>
      </w:r>
    </w:p>
    <w:p>
      <w:pPr>
        <w:pStyle w:val="Compact"/>
        <w:numPr>
          <w:ilvl w:val="0"/>
          <w:numId w:val="1012"/>
        </w:numPr>
      </w:pPr>
      <w:r>
        <w:t xml:space="preserve">The CFO transition results in reduced disclosure or less precise guidance</w:t>
      </w:r>
    </w:p>
    <w:bookmarkEnd w:id="31"/>
    <w:bookmarkEnd w:id="32"/>
    <w:bookmarkStart w:id="33" w:name="bottom-line"/>
    <w:p>
      <w:pPr>
        <w:pStyle w:val="Heading2"/>
      </w:pPr>
      <w:r>
        <w:t xml:space="preserve">Bottom line</w:t>
      </w:r>
    </w:p>
    <w:p>
      <w:pPr>
        <w:pStyle w:val="FirstParagraph"/>
      </w:pPr>
      <w:r>
        <w:rPr>
          <w:b/>
          <w:bCs/>
        </w:rPr>
        <w:t xml:space="preserve">The key hurdle is peak-season operating leverage, not simply revenue growth.</w:t>
      </w:r>
      <w:r>
        <w:t xml:space="preserve"> </w:t>
      </w:r>
      <w:r>
        <w:t xml:space="preserve">Consensus already expects roughly 9%–10% total revenue growth and low-teens adjusted EPS growth. For the report to meaningfully improve sentiment, Rollins likely needs to deliver organic growth at or above 7%, show clear sequential margin recovery, and reaffirm the financial algorithm under its new CFO.</w:t>
      </w:r>
    </w:p>
    <w:p>
      <w:pPr>
        <w:pStyle w:val="BodyText"/>
      </w:pPr>
      <w:r>
        <w:t xml:space="preserve">The most useful single combination to watch is:</w:t>
      </w:r>
    </w:p>
    <w:p>
      <w:pPr>
        <w:pStyle w:val="BlockText"/>
      </w:pPr>
      <w:r>
        <w:rPr>
          <w:b/>
          <w:bCs/>
        </w:rPr>
        <w:t xml:space="preserve">Organic revenue growth plus adjusted incremental EBITDA margin.</w:t>
      </w:r>
    </w:p>
    <w:p>
      <w:pPr>
        <w:pStyle w:val="FirstParagraph"/>
      </w:pPr>
      <w:r>
        <w:t xml:space="preserve">A healthy organic result without margin recovery would suggest Rollins is still buying growth through elevated staffing and selling expense. Margin improvement without solid organic growth would be less durable. A report showing both would provide the strongest evidence that the long-term compounder thesis remains on track.</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d1io3yog0oux5.cloudfront.net/_d99871ff7592bb65e9711c8e81e7a29a/rollins/db/952/11232/transcript/13760633_TRX.pdf" TargetMode="External" /><Relationship Type="http://schemas.openxmlformats.org/officeDocument/2006/relationships/hyperlink" Id="rId11" Target="https://www.benzinga.com/quote/ROL/earnings?utm_source=openai" TargetMode="External" /><Relationship Type="http://schemas.openxmlformats.org/officeDocument/2006/relationships/hyperlink" Id="rId12" Target="https://www.rollins.com/investors/press-releases/detail/414/rollins-inc-reports-second-quarter-2025-financial-results?utm_source=openai" TargetMode="External" /><Relationship Type="http://schemas.openxmlformats.org/officeDocument/2006/relationships/hyperlink" Id="rId23" Target="https://www.rollins.com/investors/press-releases/detail/429/rollins-acquires-romex-pest-control?utm_source=openai" TargetMode="External" /><Relationship Type="http://schemas.openxmlformats.org/officeDocument/2006/relationships/hyperlink" Id="rId14" Target="https://www.rollins.com/investors/press-releases/detail/432/rollins-inc-reports-first-quarter-2026-financial-results?utm_source=openai" TargetMode="External" /><Relationship Type="http://schemas.openxmlformats.org/officeDocument/2006/relationships/hyperlink" Id="rId25" Target="https://www.rollins.com/investors/press-releases/detail/435/rollins-inc-announces-cfo-transition?utm_source=openai" TargetMode="External" /><Relationship Type="http://schemas.openxmlformats.org/officeDocument/2006/relationships/hyperlink" Id="rId9" Target="https://www.rollins.com/investors/press-releases/detail/437/rollins-inc-schedules-date-for-release-of-second-quarter-2026-financial-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16" Target="https://d1io3yog0oux5.cloudfront.net/_d99871ff7592bb65e9711c8e81e7a29a/rollins/db/952/11232/transcript/13760633_TRX.pdf" TargetMode="External" /><Relationship Type="http://schemas.openxmlformats.org/officeDocument/2006/relationships/hyperlink" Id="rId11" Target="https://www.benzinga.com/quote/ROL/earnings?utm_source=openai" TargetMode="External" /><Relationship Type="http://schemas.openxmlformats.org/officeDocument/2006/relationships/hyperlink" Id="rId12" Target="https://www.rollins.com/investors/press-releases/detail/414/rollins-inc-reports-second-quarter-2025-financial-results?utm_source=openai" TargetMode="External" /><Relationship Type="http://schemas.openxmlformats.org/officeDocument/2006/relationships/hyperlink" Id="rId23" Target="https://www.rollins.com/investors/press-releases/detail/429/rollins-acquires-romex-pest-control?utm_source=openai" TargetMode="External" /><Relationship Type="http://schemas.openxmlformats.org/officeDocument/2006/relationships/hyperlink" Id="rId14" Target="https://www.rollins.com/investors/press-releases/detail/432/rollins-inc-reports-first-quarter-2026-financial-results?utm_source=openai" TargetMode="External" /><Relationship Type="http://schemas.openxmlformats.org/officeDocument/2006/relationships/hyperlink" Id="rId25" Target="https://www.rollins.com/investors/press-releases/detail/435/rollins-inc-announces-cfo-transition?utm_source=openai" TargetMode="External" /><Relationship Type="http://schemas.openxmlformats.org/officeDocument/2006/relationships/hyperlink" Id="rId9" Target="https://www.rollins.com/investors/press-releases/detail/437/rollins-inc-schedules-date-for-release-of-second-quarter-2026-financial-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2026-07-22T01:06:14Z</dcterms:created>
  <dcterms:modified xsi:type="dcterms:W3CDTF">2026-07-22T01:06:14Z</dcterms:modified>
</cp:coreProperties>
</file>

<file path=docProps/custom.xml><?xml version="1.0" encoding="utf-8"?>
<Properties xmlns="http://schemas.openxmlformats.org/officeDocument/2006/custom-properties" xmlns:vt="http://schemas.openxmlformats.org/officeDocument/2006/docPropsVTypes"/>
</file>