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rollins-nyse-rol--2q26-earnings-preview"/>
    <w:p>
      <w:pPr>
        <w:pStyle w:val="Heading1"/>
      </w:pPr>
      <w:r>
        <w:t xml:space="preserve">Rollins (NYSE: ROL) — 2Q26 Earnings Preview</w:t>
      </w:r>
    </w:p>
    <w:p>
      <w:pPr>
        <w:pStyle w:val="BlockText"/>
      </w:pPr>
      <w:r>
        <w:rPr>
          <w:b/>
          <w:bCs/>
        </w:rPr>
        <w:t xml:space="preserve">Date clarification:</w:t>
      </w:r>
      <w:r>
        <w:t xml:space="preserve"> </w:t>
      </w:r>
      <w:r>
        <w:t xml:space="preserve">Rollins is scheduled to report</w:t>
      </w:r>
      <w:r>
        <w:t xml:space="preserve"> </w:t>
      </w:r>
      <w:r>
        <w:rPr>
          <w:b/>
          <w:bCs/>
        </w:rPr>
        <w:t xml:space="preserve">after the market closes today, Wednesday, July 22, 2026</w:t>
      </w:r>
      <w:r>
        <w:t xml:space="preserve">, not tomorrow. The earnings call is scheduled for</w:t>
      </w:r>
      <w:r>
        <w:t xml:space="preserve"> </w:t>
      </w:r>
      <w:r>
        <w:rPr>
          <w:b/>
          <w:bCs/>
        </w:rPr>
        <w:t xml:space="preserve">Thursday, July 23 at 8:30 a.m. ET</w:t>
      </w:r>
      <w:r>
        <w:t xml:space="preserve">.</w:t>
      </w:r>
    </w:p>
    <w:bookmarkStart w:id="9" w:name="bottom-line"/>
    <w:p>
      <w:pPr>
        <w:pStyle w:val="Heading2"/>
      </w:pPr>
      <w:r>
        <w:t xml:space="preserve">Bottom line</w:t>
      </w:r>
    </w:p>
    <w:p>
      <w:pPr>
        <w:pStyle w:val="FirstParagraph"/>
      </w:pPr>
      <w:r>
        <w:t xml:space="preserve">Rollins enters 2Q26 with the core setup investors generally want for a pest-control compounder: a seasonally favorable quarter, management’s maintained</w:t>
      </w:r>
      <w:r>
        <w:t xml:space="preserve"> </w:t>
      </w:r>
      <w:r>
        <w:rPr>
          <w:b/>
          <w:bCs/>
        </w:rPr>
        <w:t xml:space="preserve">7%–8% organic-growth</w:t>
      </w:r>
      <w:r>
        <w:t xml:space="preserve"> </w:t>
      </w:r>
      <w:r>
        <w:t xml:space="preserve">outlook, pricing running at</w:t>
      </w:r>
      <w:r>
        <w:t xml:space="preserve"> </w:t>
      </w:r>
      <w:r>
        <w:rPr>
          <w:b/>
          <w:bCs/>
        </w:rPr>
        <w:t xml:space="preserve">3%–4%</w:t>
      </w:r>
      <w:r>
        <w:t xml:space="preserve">, a healthy M&amp;A contribution, and an operational backdrop that improved materially exiting 1Q.</w:t>
      </w:r>
    </w:p>
    <w:p>
      <w:pPr>
        <w:pStyle w:val="BodyText"/>
      </w:pPr>
      <w:r>
        <w:t xml:space="preserve">The central question is no longer simply whether revenue grows. It is whether Rollins can</w:t>
      </w:r>
      <w:r>
        <w:t xml:space="preserve"> </w:t>
      </w:r>
      <w:r>
        <w:rPr>
          <w:b/>
          <w:bCs/>
        </w:rPr>
        <w:t xml:space="preserve">convert seasonally stronger volumes into a clear step-up in margins and earnings growth</w:t>
      </w:r>
      <w:r>
        <w:t xml:space="preserve"> </w:t>
      </w:r>
      <w:r>
        <w:t xml:space="preserve">after 1Q profitability was held back by elevated insurance claims, lower fleet gains, and deliberate front-loaded sales, marketing, and staffing investment.</w:t>
      </w:r>
    </w:p>
    <w:p>
      <w:pPr>
        <w:pStyle w:val="BodyText"/>
      </w:pPr>
      <w:r>
        <w:t xml:space="preserve">The share price already reflects a more cautious setup: ROL closed at</w:t>
      </w:r>
      <w:r>
        <w:t xml:space="preserve"> </w:t>
      </w:r>
      <w:r>
        <w:rPr>
          <w:b/>
          <w:bCs/>
        </w:rPr>
        <w:t xml:space="preserve">$43.87 on July 21</w:t>
      </w:r>
      <w:r>
        <w:t xml:space="preserve">, down roughly</w:t>
      </w:r>
      <w:r>
        <w:t xml:space="preserve"> </w:t>
      </w:r>
      <w:r>
        <w:rPr>
          <w:b/>
          <w:bCs/>
        </w:rPr>
        <w:t xml:space="preserve">23% from its April 23 closing high of $56.99</w:t>
      </w:r>
      <w:r>
        <w:t xml:space="preserve">. That reset may lower expectations, but the market will likely still demand evidence that the company’s growth investments, retention initiatives, and pricing are producing operating leverage.</w:t>
      </w:r>
    </w:p>
    <w:p>
      <w:r>
        <w:pict>
          <v:rect style="width:0;height:1.5pt" o:hralign="center" o:hrstd="t" o:hr="t"/>
        </w:pict>
      </w:r>
    </w:p>
    <w:bookmarkEnd w:id="9"/>
    <w:bookmarkStart w:id="14" w:name="what-matters-most-in-the-print"/>
    <w:p>
      <w:pPr>
        <w:pStyle w:val="Heading2"/>
      </w:pPr>
      <w:r>
        <w:t xml:space="preserve">What matters most in the print</w:t>
      </w:r>
    </w:p>
    <w:bookmarkStart w:id="10" w:name="Xe2ef351e6ff50ef39d0c92b0311f7d9b9175e9d"/>
    <w:p>
      <w:pPr>
        <w:pStyle w:val="Heading3"/>
      </w:pPr>
      <w:r>
        <w:t xml:space="preserve">1. Organic growth: can Rollins sustain the 7%–8% algorithm?</w:t>
      </w:r>
    </w:p>
    <w:p>
      <w:pPr>
        <w:pStyle w:val="FirstParagraph"/>
      </w:pPr>
      <w:r>
        <w:t xml:space="preserve">Management reiterated its full-year outlook for</w:t>
      </w:r>
      <w:r>
        <w:t xml:space="preserve"> </w:t>
      </w:r>
      <w:r>
        <w:rPr>
          <w:b/>
          <w:bCs/>
        </w:rPr>
        <w:t xml:space="preserve">7%–8% organic growth</w:t>
      </w:r>
      <w:r>
        <w:t xml:space="preserve"> </w:t>
      </w:r>
      <w:r>
        <w:t xml:space="preserve">and</w:t>
      </w:r>
      <w:r>
        <w:t xml:space="preserve"> </w:t>
      </w:r>
      <w:r>
        <w:rPr>
          <w:b/>
          <w:bCs/>
        </w:rPr>
        <w:t xml:space="preserve">2%–3% M&amp;A-driven growth</w:t>
      </w:r>
      <w:r>
        <w:t xml:space="preserve"> </w:t>
      </w:r>
      <w:r>
        <w:t xml:space="preserve">after 1Q. The key support was a strong March exit rate: total growth was about 12% and organic growth exceeded 8%, versus 6.6% organic growth for the full quarter after weather disrupted January.</w:t>
      </w:r>
    </w:p>
    <w:p>
      <w:pPr>
        <w:pStyle w:val="BodyText"/>
      </w:pPr>
      <w:r>
        <w:t xml:space="preserve">For 2Q, investors should focus on:</w:t>
      </w:r>
    </w:p>
    <w:p>
      <w:pPr>
        <w:pStyle w:val="Compact"/>
        <w:numPr>
          <w:ilvl w:val="0"/>
          <w:numId w:val="1001"/>
        </w:numPr>
      </w:pPr>
      <w:r>
        <w:t xml:space="preserve">Whether total organic growth returns to, or exceeds, the</w:t>
      </w:r>
      <w:r>
        <w:t xml:space="preserve"> </w:t>
      </w:r>
      <w:r>
        <w:rPr>
          <w:b/>
          <w:bCs/>
        </w:rPr>
        <w:t xml:space="preserve">7%–8% guided range</w:t>
      </w:r>
      <w:r>
        <w:t xml:space="preserve">.</w:t>
      </w:r>
    </w:p>
    <w:p>
      <w:pPr>
        <w:pStyle w:val="Compact"/>
        <w:numPr>
          <w:ilvl w:val="0"/>
          <w:numId w:val="1001"/>
        </w:numPr>
      </w:pPr>
      <w:r>
        <w:t xml:space="preserve">The split between</w:t>
      </w:r>
      <w:r>
        <w:t xml:space="preserve"> </w:t>
      </w:r>
      <w:r>
        <w:rPr>
          <w:b/>
          <w:bCs/>
        </w:rPr>
        <w:t xml:space="preserve">price</w:t>
      </w:r>
      <w:r>
        <w:t xml:space="preserve"> </w:t>
      </w:r>
      <w:r>
        <w:t xml:space="preserve">and volume. Price is expected to add</w:t>
      </w:r>
      <w:r>
        <w:t xml:space="preserve"> </w:t>
      </w:r>
      <w:r>
        <w:rPr>
          <w:b/>
          <w:bCs/>
        </w:rPr>
        <w:t xml:space="preserve">3%–4%</w:t>
      </w:r>
      <w:r>
        <w:t xml:space="preserve">, implying volume, customer starts, cross-selling, and retention need to account for the remainder.</w:t>
      </w:r>
    </w:p>
    <w:p>
      <w:pPr>
        <w:pStyle w:val="Compact"/>
        <w:numPr>
          <w:ilvl w:val="0"/>
          <w:numId w:val="1001"/>
        </w:numPr>
      </w:pPr>
      <w:r>
        <w:t xml:space="preserve">Management’s read on weather-normalized demand and whether the strong March/early-April cadence held through the peak spring period.</w:t>
      </w:r>
    </w:p>
    <w:p>
      <w:pPr>
        <w:pStyle w:val="Compact"/>
        <w:numPr>
          <w:ilvl w:val="0"/>
          <w:numId w:val="1001"/>
        </w:numPr>
      </w:pPr>
      <w:r>
        <w:t xml:space="preserve">Any update to the full-year organic-growth target.</w:t>
      </w:r>
    </w:p>
    <w:p>
      <w:pPr>
        <w:pStyle w:val="FirstParagraph"/>
      </w:pPr>
      <w:r>
        <w:rPr>
          <w:b/>
          <w:bCs/>
        </w:rPr>
        <w:t xml:space="preserve">Why it matters:</w:t>
      </w:r>
      <w:r>
        <w:t xml:space="preserve"> </w:t>
      </w:r>
      <w:r>
        <w:t xml:space="preserve">2Q is a major seasonal earnings period for Rollins. In 2Q25, the company delivered</w:t>
      </w:r>
      <w:r>
        <w:t xml:space="preserve"> </w:t>
      </w:r>
      <w:r>
        <w:rPr>
          <w:b/>
          <w:bCs/>
        </w:rPr>
        <w:t xml:space="preserve">12.1% total revenue growth and 7.3% organic growth</w:t>
      </w:r>
      <w:r>
        <w:t xml:space="preserve">. A result materially below that organic level—especially without a clear weather explanation—would likely raise questions about residential demand, lead flow, or execution.</w:t>
      </w:r>
    </w:p>
    <w:p>
      <w:r>
        <w:pict>
          <v:rect style="width:0;height:1.5pt" o:hralign="center" o:hrstd="t" o:hr="t"/>
        </w:pict>
      </w:r>
    </w:p>
    <w:bookmarkEnd w:id="10"/>
    <w:bookmarkStart w:id="11" w:name="Xdef22bbd06b870f0ab099b791e9c1bc7c4ae614"/>
    <w:p>
      <w:pPr>
        <w:pStyle w:val="Heading3"/>
      </w:pPr>
      <w:r>
        <w:t xml:space="preserve">2. Segment mix: commercial and termite/ancillary should remain the growth leaders</w:t>
      </w:r>
    </w:p>
    <w:p>
      <w:pPr>
        <w:pStyle w:val="FirstParagraph"/>
      </w:pPr>
      <w:r>
        <w:t xml:space="preserve">Rollins’ 1Q segment organic-growth performance showed a meaningful mix difference: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right"/>
            </w:pPr>
            <w:r>
              <w:t xml:space="preserve">1Q26 organic growth</w:t>
            </w:r>
          </w:p>
        </w:tc>
        <w:tc>
          <w:tcPr/>
          <w:p>
            <w:pPr>
              <w:pStyle w:val="Compact"/>
            </w:pPr>
            <w:r>
              <w:t xml:space="preserve">Takeaway</w:t>
            </w:r>
          </w:p>
        </w:tc>
      </w:tr>
      <w:tr>
        <w:tc>
          <w:tcPr/>
          <w:p>
            <w:pPr>
              <w:pStyle w:val="Compact"/>
              <w:jc w:val="right"/>
            </w:pPr>
            <w:r>
              <w:t xml:space="preserve">Residential:</w:t>
            </w:r>
            <w:r>
              <w:t xml:space="preserve"> </w:t>
            </w:r>
            <w:r>
              <w:rPr>
                <w:b/>
                <w:bCs/>
              </w:rPr>
              <w:t xml:space="preserve">4.2%</w:t>
            </w:r>
          </w:p>
        </w:tc>
        <w:tc>
          <w:tcPr/>
          <w:p>
            <w:pPr>
              <w:pStyle w:val="Compact"/>
            </w:pPr>
            <w:r>
              <w:t xml:space="preserve">The softest business, partly reflecting early-quarter weather</w:t>
            </w:r>
          </w:p>
        </w:tc>
      </w:tr>
      <w:tr>
        <w:tc>
          <w:tcPr/>
          <w:p>
            <w:pPr>
              <w:pStyle w:val="Compact"/>
              <w:jc w:val="right"/>
            </w:pPr>
            <w:r>
              <w:t xml:space="preserve">Commercial:</w:t>
            </w:r>
            <w:r>
              <w:t xml:space="preserve"> </w:t>
            </w:r>
            <w:r>
              <w:rPr>
                <w:b/>
                <w:bCs/>
              </w:rPr>
              <w:t xml:space="preserve">7.7%</w:t>
            </w:r>
          </w:p>
        </w:tc>
        <w:tc>
          <w:tcPr/>
          <w:p>
            <w:pPr>
              <w:pStyle w:val="Compact"/>
            </w:pPr>
            <w:r>
              <w:t xml:space="preserve">Supported by investments in dedicated commercial sales resources</w:t>
            </w:r>
          </w:p>
        </w:tc>
      </w:tr>
      <w:tr>
        <w:tc>
          <w:tcPr/>
          <w:p>
            <w:pPr>
              <w:pStyle w:val="Compact"/>
              <w:jc w:val="right"/>
            </w:pPr>
            <w:r>
              <w:t xml:space="preserve">Termite &amp; ancillary:</w:t>
            </w:r>
            <w:r>
              <w:t xml:space="preserve"> </w:t>
            </w:r>
            <w:r>
              <w:rPr>
                <w:b/>
                <w:bCs/>
              </w:rPr>
              <w:t xml:space="preserve">9.8%</w:t>
            </w:r>
          </w:p>
        </w:tc>
        <w:tc>
          <w:tcPr/>
          <w:p>
            <w:pPr>
              <w:pStyle w:val="Compact"/>
            </w:pPr>
            <w:r>
              <w:t xml:space="preserve">Strongest category and an important indicator of cross-sell and consumer willingness to buy larger-ticket services</w:t>
            </w:r>
          </w:p>
        </w:tc>
      </w:tr>
    </w:tbl>
    <w:p>
      <w:pPr>
        <w:pStyle w:val="BodyText"/>
      </w:pPr>
      <w:r>
        <w:t xml:space="preserve">The most constructive 2Q outcome would be:</w:t>
      </w:r>
    </w:p>
    <w:p>
      <w:pPr>
        <w:pStyle w:val="Compact"/>
        <w:numPr>
          <w:ilvl w:val="0"/>
          <w:numId w:val="1002"/>
        </w:numPr>
      </w:pPr>
      <w:r>
        <w:t xml:space="preserve">Residential growth reaccelerating as weather normalizes and peak-season customer demand ramps.</w:t>
      </w:r>
    </w:p>
    <w:p>
      <w:pPr>
        <w:pStyle w:val="Compact"/>
        <w:numPr>
          <w:ilvl w:val="0"/>
          <w:numId w:val="1002"/>
        </w:numPr>
      </w:pPr>
      <w:r>
        <w:t xml:space="preserve">Commercial continuing to outgrow, supported by expanded sales coverage and attractive customer-retention characteristics.</w:t>
      </w:r>
    </w:p>
    <w:p>
      <w:pPr>
        <w:pStyle w:val="Compact"/>
        <w:numPr>
          <w:ilvl w:val="0"/>
          <w:numId w:val="1002"/>
        </w:numPr>
      </w:pPr>
      <w:r>
        <w:t xml:space="preserve">Termite and ancillary maintaining high-single- or double-digit organic growth, reinforcing the opportunity to sell more services per customer across the company’s brand portfolio.</w:t>
      </w:r>
    </w:p>
    <w:p>
      <w:pPr>
        <w:pStyle w:val="FirstParagraph"/>
      </w:pPr>
      <w:r>
        <w:t xml:space="preserve">The</w:t>
      </w:r>
      <w:r>
        <w:t xml:space="preserve"> </w:t>
      </w:r>
      <w:r>
        <w:rPr>
          <w:b/>
          <w:bCs/>
        </w:rPr>
        <w:t xml:space="preserve">Romex</w:t>
      </w:r>
      <w:r>
        <w:t xml:space="preserve"> </w:t>
      </w:r>
      <w:r>
        <w:t xml:space="preserve">acquisition, completed on April 1 for</w:t>
      </w:r>
      <w:r>
        <w:t xml:space="preserve"> </w:t>
      </w:r>
      <w:r>
        <w:rPr>
          <w:b/>
          <w:bCs/>
        </w:rPr>
        <w:t xml:space="preserve">$90 million plus up to $10 million of contingent consideration</w:t>
      </w:r>
      <w:r>
        <w:t xml:space="preserve">, will also support reported growth in 2Q. Investors should distinguish carefully between acquired revenue and underlying organic momentum.</w:t>
      </w:r>
    </w:p>
    <w:p>
      <w:r>
        <w:pict>
          <v:rect style="width:0;height:1.5pt" o:hralign="center" o:hrstd="t" o:hr="t"/>
        </w:pict>
      </w:r>
    </w:p>
    <w:bookmarkEnd w:id="11"/>
    <w:bookmarkStart w:id="12" w:name="X2ee83fd2f696d444273dc9e2a1a11574cdf5346"/>
    <w:p>
      <w:pPr>
        <w:pStyle w:val="Heading3"/>
      </w:pPr>
      <w:r>
        <w:t xml:space="preserve">3. Margins are the swing factor</w:t>
      </w:r>
    </w:p>
    <w:p>
      <w:pPr>
        <w:pStyle w:val="FirstParagraph"/>
      </w:pPr>
      <w:r>
        <w:t xml:space="preserve">Rollins’ 1Q margin profile was the primary blemish: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YoY change</w:t>
            </w:r>
          </w:p>
        </w:tc>
      </w:tr>
      <w:tr>
        <w:tc>
          <w:tcPr/>
          <w:p>
            <w:pPr>
              <w:pStyle w:val="Compact"/>
            </w:pPr>
            <w:r>
              <w:t xml:space="preserve">Gross margin</w:t>
            </w:r>
          </w:p>
        </w:tc>
        <w:tc>
          <w:tcPr/>
          <w:p>
            <w:pPr>
              <w:pStyle w:val="Compact"/>
              <w:jc w:val="right"/>
            </w:pPr>
            <w:r>
              <w:rPr>
                <w:b/>
                <w:bCs/>
              </w:rPr>
              <w:t xml:space="preserve">50.8%</w:t>
            </w:r>
          </w:p>
        </w:tc>
        <w:tc>
          <w:tcPr/>
          <w:p>
            <w:pPr>
              <w:pStyle w:val="Compact"/>
              <w:jc w:val="right"/>
            </w:pPr>
            <w:r>
              <w:rPr>
                <w:b/>
                <w:bCs/>
              </w:rPr>
              <w:t xml:space="preserve">-60 bps</w:t>
            </w:r>
          </w:p>
        </w:tc>
      </w:tr>
      <w:tr>
        <w:tc>
          <w:tcPr/>
          <w:p>
            <w:pPr>
              <w:pStyle w:val="Compact"/>
            </w:pPr>
            <w:r>
              <w:t xml:space="preserve">Adjusted operating margin</w:t>
            </w:r>
          </w:p>
        </w:tc>
        <w:tc>
          <w:tcPr/>
          <w:p>
            <w:pPr>
              <w:pStyle w:val="Compact"/>
              <w:jc w:val="right"/>
            </w:pPr>
            <w:r>
              <w:rPr>
                <w:b/>
                <w:bCs/>
              </w:rPr>
              <w:t xml:space="preserve">16.9%</w:t>
            </w:r>
          </w:p>
        </w:tc>
        <w:tc>
          <w:tcPr/>
          <w:p>
            <w:pPr>
              <w:pStyle w:val="Compact"/>
              <w:jc w:val="right"/>
            </w:pPr>
            <w:r>
              <w:rPr>
                <w:b/>
                <w:bCs/>
              </w:rPr>
              <w:t xml:space="preserve">-100 bps</w:t>
            </w:r>
          </w:p>
        </w:tc>
      </w:tr>
      <w:tr>
        <w:tc>
          <w:tcPr/>
          <w:p>
            <w:pPr>
              <w:pStyle w:val="Compact"/>
            </w:pPr>
            <w:r>
              <w:t xml:space="preserve">Adjusted EBITDA margin</w:t>
            </w:r>
          </w:p>
        </w:tc>
        <w:tc>
          <w:tcPr/>
          <w:p>
            <w:pPr>
              <w:pStyle w:val="Compact"/>
              <w:jc w:val="right"/>
            </w:pPr>
            <w:r>
              <w:rPr>
                <w:b/>
                <w:bCs/>
              </w:rPr>
              <w:t xml:space="preserve">19.8%</w:t>
            </w:r>
          </w:p>
        </w:tc>
        <w:tc>
          <w:tcPr/>
          <w:p>
            <w:pPr>
              <w:pStyle w:val="Compact"/>
              <w:jc w:val="right"/>
            </w:pPr>
            <w:r>
              <w:rPr>
                <w:b/>
                <w:bCs/>
              </w:rPr>
              <w:t xml:space="preserve">-110 bps</w:t>
            </w:r>
          </w:p>
        </w:tc>
      </w:tr>
      <w:tr>
        <w:tc>
          <w:tcPr/>
          <w:p>
            <w:pPr>
              <w:pStyle w:val="Compact"/>
            </w:pPr>
            <w:r>
              <w:t xml:space="preserve">Adjusted EBITDA incremental margin</w:t>
            </w:r>
          </w:p>
        </w:tc>
        <w:tc>
          <w:tcPr/>
          <w:p>
            <w:pPr>
              <w:pStyle w:val="Compact"/>
              <w:jc w:val="right"/>
            </w:pPr>
            <w:r>
              <w:rPr>
                <w:b/>
                <w:bCs/>
              </w:rPr>
              <w:t xml:space="preserve">9.1%</w:t>
            </w:r>
          </w:p>
        </w:tc>
        <w:tc>
          <w:tcPr/>
          <w:p>
            <w:pPr>
              <w:pStyle w:val="Compact"/>
              <w:jc w:val="right"/>
            </w:pPr>
            <w:r>
              <w:t xml:space="preserve">Below the company’s longer-term potential</w:t>
            </w:r>
          </w:p>
        </w:tc>
      </w:tr>
    </w:tbl>
    <w:p>
      <w:pPr>
        <w:pStyle w:val="BodyText"/>
      </w:pPr>
      <w:r>
        <w:t xml:space="preserve">Management identified several temporary or timing-related pressures:</w:t>
      </w:r>
    </w:p>
    <w:p>
      <w:pPr>
        <w:pStyle w:val="Compact"/>
        <w:numPr>
          <w:ilvl w:val="0"/>
          <w:numId w:val="1003"/>
        </w:numPr>
      </w:pPr>
      <w:r>
        <w:rPr>
          <w:b/>
          <w:bCs/>
        </w:rPr>
        <w:t xml:space="preserve">Lower vehicle gains:</w:t>
      </w:r>
      <w:r>
        <w:t xml:space="preserve"> </w:t>
      </w:r>
      <w:r>
        <w:t xml:space="preserve">roughly</w:t>
      </w:r>
      <w:r>
        <w:t xml:space="preserve"> </w:t>
      </w:r>
      <w:r>
        <w:rPr>
          <w:b/>
          <w:bCs/>
        </w:rPr>
        <w:t xml:space="preserve">50 bps</w:t>
      </w:r>
      <w:r>
        <w:t xml:space="preserve"> </w:t>
      </w:r>
      <w:r>
        <w:t xml:space="preserve">of gross-margin headwind, expected to begin moderating in 2Q.</w:t>
      </w:r>
    </w:p>
    <w:p>
      <w:pPr>
        <w:pStyle w:val="Compact"/>
        <w:numPr>
          <w:ilvl w:val="0"/>
          <w:numId w:val="1003"/>
        </w:numPr>
      </w:pPr>
      <w:r>
        <w:rPr>
          <w:b/>
          <w:bCs/>
        </w:rPr>
        <w:t xml:space="preserve">Insurance and claims:</w:t>
      </w:r>
      <w:r>
        <w:t xml:space="preserve"> </w:t>
      </w:r>
      <w:r>
        <w:t xml:space="preserve">roughly</w:t>
      </w:r>
      <w:r>
        <w:t xml:space="preserve"> </w:t>
      </w:r>
      <w:r>
        <w:rPr>
          <w:b/>
          <w:bCs/>
        </w:rPr>
        <w:t xml:space="preserve">30 bps</w:t>
      </w:r>
      <w:r>
        <w:t xml:space="preserve"> </w:t>
      </w:r>
      <w:r>
        <w:t xml:space="preserve">of gross-margin pressure, plus additional SG&amp;A pressure.</w:t>
      </w:r>
    </w:p>
    <w:p>
      <w:pPr>
        <w:pStyle w:val="Compact"/>
        <w:numPr>
          <w:ilvl w:val="0"/>
          <w:numId w:val="1003"/>
        </w:numPr>
      </w:pPr>
      <w:r>
        <w:rPr>
          <w:b/>
          <w:bCs/>
        </w:rPr>
        <w:t xml:space="preserve">Service payroll:</w:t>
      </w:r>
      <w:r>
        <w:t xml:space="preserve"> </w:t>
      </w:r>
      <w:r>
        <w:t xml:space="preserve">roughly</w:t>
      </w:r>
      <w:r>
        <w:t xml:space="preserve"> </w:t>
      </w:r>
      <w:r>
        <w:rPr>
          <w:b/>
          <w:bCs/>
        </w:rPr>
        <w:t xml:space="preserve">20 bps</w:t>
      </w:r>
      <w:r>
        <w:t xml:space="preserve"> </w:t>
      </w:r>
      <w:r>
        <w:t xml:space="preserve">of gross-margin pressure from carrying staffing ahead of peak-season demand.</w:t>
      </w:r>
    </w:p>
    <w:p>
      <w:pPr>
        <w:pStyle w:val="Compact"/>
        <w:numPr>
          <w:ilvl w:val="0"/>
          <w:numId w:val="1003"/>
        </w:numPr>
      </w:pPr>
      <w:r>
        <w:rPr>
          <w:b/>
          <w:bCs/>
        </w:rPr>
        <w:t xml:space="preserve">Sales and marketing investment:</w:t>
      </w:r>
      <w:r>
        <w:t xml:space="preserve"> </w:t>
      </w:r>
      <w:r>
        <w:t xml:space="preserve">approximately</w:t>
      </w:r>
      <w:r>
        <w:t xml:space="preserve"> </w:t>
      </w:r>
      <w:r>
        <w:rPr>
          <w:b/>
          <w:bCs/>
        </w:rPr>
        <w:t xml:space="preserve">50 bps</w:t>
      </w:r>
      <w:r>
        <w:t xml:space="preserve"> </w:t>
      </w:r>
      <w:r>
        <w:t xml:space="preserve">of SG&amp;A deleverage as Rollins funded growth initiatives.</w:t>
      </w:r>
    </w:p>
    <w:p>
      <w:pPr>
        <w:pStyle w:val="FirstParagraph"/>
      </w:pPr>
      <w:r>
        <w:t xml:space="preserve">Management was explicit that 1Q is typically the seasonal margin low point and expected improvement through 2Q and 3Q. Accordingly, this quarter should provide the first meaningful test of that assertion.</w:t>
      </w:r>
    </w:p>
    <w:bookmarkEnd w:id="12"/>
    <w:bookmarkStart w:id="13" w:name="margin-watch-items"/>
    <w:p>
      <w:pPr>
        <w:pStyle w:val="Heading3"/>
      </w:pPr>
      <w:r>
        <w:t xml:space="preserve">Margin watch items</w:t>
      </w:r>
    </w:p>
    <w:p>
      <w:pPr>
        <w:pStyle w:val="Compact"/>
        <w:numPr>
          <w:ilvl w:val="0"/>
          <w:numId w:val="1004"/>
        </w:numPr>
      </w:pPr>
      <w:r>
        <w:rPr>
          <w:b/>
          <w:bCs/>
        </w:rPr>
        <w:t xml:space="preserve">Gross-margin recovery:</w:t>
      </w:r>
      <w:r>
        <w:t xml:space="preserve"> </w:t>
      </w:r>
      <w:r>
        <w:t xml:space="preserve">Investors should expect a clear sequential improvement from 1Q’s 50.8%.</w:t>
      </w:r>
    </w:p>
    <w:p>
      <w:pPr>
        <w:pStyle w:val="Compact"/>
        <w:numPr>
          <w:ilvl w:val="0"/>
          <w:numId w:val="1004"/>
        </w:numPr>
      </w:pPr>
      <w:r>
        <w:rPr>
          <w:b/>
          <w:bCs/>
        </w:rPr>
        <w:t xml:space="preserve">Incremental margin:</w:t>
      </w:r>
      <w:r>
        <w:t xml:space="preserve"> </w:t>
      </w:r>
      <w:r>
        <w:t xml:space="preserve">The key quality-of-growth measure. A meaningful rebound would validate that staffing and marketing investments can be leveraged as volumes rise.</w:t>
      </w:r>
    </w:p>
    <w:p>
      <w:pPr>
        <w:pStyle w:val="Compact"/>
        <w:numPr>
          <w:ilvl w:val="0"/>
          <w:numId w:val="1004"/>
        </w:numPr>
      </w:pPr>
      <w:r>
        <w:rPr>
          <w:b/>
          <w:bCs/>
        </w:rPr>
        <w:t xml:space="preserve">Insurance and claims:</w:t>
      </w:r>
      <w:r>
        <w:t xml:space="preserve"> </w:t>
      </w:r>
      <w:r>
        <w:t xml:space="preserve">This remains the largest uncertainty. Management has said certain auto and injury claims can take years to mature, making the expense line volatile even as safety-frequency trends improve.</w:t>
      </w:r>
    </w:p>
    <w:p>
      <w:pPr>
        <w:pStyle w:val="Compact"/>
        <w:numPr>
          <w:ilvl w:val="0"/>
          <w:numId w:val="1004"/>
        </w:numPr>
      </w:pPr>
      <w:r>
        <w:rPr>
          <w:b/>
          <w:bCs/>
        </w:rPr>
        <w:t xml:space="preserve">Sales and marketing productivity:</w:t>
      </w:r>
      <w:r>
        <w:t xml:space="preserve"> </w:t>
      </w:r>
      <w:r>
        <w:t xml:space="preserve">Strong organic growth combined with stable or improving SG&amp;A leverage would be a particularly positive signal.</w:t>
      </w:r>
    </w:p>
    <w:p>
      <w:r>
        <w:pict>
          <v:rect style="width:0;height:1.5pt" o:hralign="center" o:hrstd="t" o:hr="t"/>
        </w:pict>
      </w:r>
    </w:p>
    <w:bookmarkEnd w:id="13"/>
    <w:bookmarkEnd w:id="14"/>
    <w:bookmarkStart w:id="15" w:name="the-setup-versus-last-year"/>
    <w:p>
      <w:pPr>
        <w:pStyle w:val="Heading2"/>
      </w:pPr>
      <w:r>
        <w:t xml:space="preserve">The setup versus last year</w:t>
      </w:r>
    </w:p>
    <w:p>
      <w:pPr>
        <w:pStyle w:val="FirstParagraph"/>
      </w:pPr>
      <w:r>
        <w:t xml:space="preserve">2Q25 sets a solid comparison base: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2Q25 result</w:t>
            </w:r>
          </w:p>
        </w:tc>
        <w:tc>
          <w:tcPr/>
          <w:p>
            <w:pPr>
              <w:pStyle w:val="Compact"/>
              <w:jc w:val="right"/>
            </w:pPr>
            <w:r>
              <w:t xml:space="preserve">Reported outcome</w:t>
            </w:r>
          </w:p>
        </w:tc>
      </w:tr>
      <w:tr>
        <w:tc>
          <w:tcPr/>
          <w:p>
            <w:pPr>
              <w:pStyle w:val="Compact"/>
            </w:pPr>
            <w:r>
              <w:t xml:space="preserve">Revenue growth</w:t>
            </w:r>
          </w:p>
        </w:tc>
        <w:tc>
          <w:tcPr/>
          <w:p>
            <w:pPr>
              <w:pStyle w:val="Compact"/>
              <w:jc w:val="right"/>
            </w:pPr>
            <w:r>
              <w:rPr>
                <w:b/>
                <w:bCs/>
              </w:rPr>
              <w:t xml:space="preserve">12.1%</w:t>
            </w:r>
          </w:p>
        </w:tc>
      </w:tr>
      <w:tr>
        <w:tc>
          <w:tcPr/>
          <w:p>
            <w:pPr>
              <w:pStyle w:val="Compact"/>
            </w:pPr>
            <w:r>
              <w:t xml:space="preserve">Organic growth</w:t>
            </w:r>
          </w:p>
        </w:tc>
        <w:tc>
          <w:tcPr/>
          <w:p>
            <w:pPr>
              <w:pStyle w:val="Compact"/>
              <w:jc w:val="right"/>
            </w:pPr>
            <w:r>
              <w:rPr>
                <w:b/>
                <w:bCs/>
              </w:rPr>
              <w:t xml:space="preserve">7.3%</w:t>
            </w:r>
          </w:p>
        </w:tc>
      </w:tr>
      <w:tr>
        <w:tc>
          <w:tcPr/>
          <w:p>
            <w:pPr>
              <w:pStyle w:val="Compact"/>
            </w:pPr>
            <w:r>
              <w:t xml:space="preserve">Gross margin</w:t>
            </w:r>
          </w:p>
        </w:tc>
        <w:tc>
          <w:tcPr/>
          <w:p>
            <w:pPr>
              <w:pStyle w:val="Compact"/>
              <w:jc w:val="right"/>
            </w:pPr>
            <w:r>
              <w:rPr>
                <w:b/>
                <w:bCs/>
              </w:rPr>
              <w:t xml:space="preserve">53.8%</w:t>
            </w:r>
          </w:p>
        </w:tc>
      </w:tr>
      <w:tr>
        <w:tc>
          <w:tcPr/>
          <w:p>
            <w:pPr>
              <w:pStyle w:val="Compact"/>
            </w:pPr>
            <w:r>
              <w:t xml:space="preserve">Adjusted EBITDA margin</w:t>
            </w:r>
          </w:p>
        </w:tc>
        <w:tc>
          <w:tcPr/>
          <w:p>
            <w:pPr>
              <w:pStyle w:val="Compact"/>
              <w:jc w:val="right"/>
            </w:pPr>
            <w:r>
              <w:rPr>
                <w:b/>
                <w:bCs/>
              </w:rPr>
              <w:t xml:space="preserve">23.1%</w:t>
            </w:r>
          </w:p>
        </w:tc>
      </w:tr>
      <w:tr>
        <w:tc>
          <w:tcPr/>
          <w:p>
            <w:pPr>
              <w:pStyle w:val="Compact"/>
            </w:pPr>
            <w:r>
              <w:t xml:space="preserve">Adjusted EPS</w:t>
            </w:r>
          </w:p>
        </w:tc>
        <w:tc>
          <w:tcPr/>
          <w:p>
            <w:pPr>
              <w:pStyle w:val="Compact"/>
              <w:jc w:val="right"/>
            </w:pPr>
            <w:r>
              <w:rPr>
                <w:b/>
                <w:bCs/>
              </w:rPr>
              <w:t xml:space="preserve">$0.30</w:t>
            </w:r>
          </w:p>
        </w:tc>
      </w:tr>
      <w:tr>
        <w:tc>
          <w:tcPr/>
          <w:p>
            <w:pPr>
              <w:pStyle w:val="Compact"/>
            </w:pPr>
            <w:r>
              <w:t xml:space="preserve">Free cash flow growth</w:t>
            </w:r>
          </w:p>
        </w:tc>
        <w:tc>
          <w:tcPr/>
          <w:p>
            <w:pPr>
              <w:pStyle w:val="Compact"/>
              <w:jc w:val="right"/>
            </w:pPr>
            <w:r>
              <w:rPr>
                <w:b/>
                <w:bCs/>
              </w:rPr>
              <w:t xml:space="preserve">+23%</w:t>
            </w:r>
          </w:p>
        </w:tc>
      </w:tr>
    </w:tbl>
    <w:p>
      <w:pPr>
        <w:pStyle w:val="BodyText"/>
      </w:pPr>
      <w:r>
        <w:t xml:space="preserve">The comparison is not easy: 2Q25 already included healthy organic growth, a strong seasonal gross margin, and robust cash conversion. Still, the 2026 setup has several offsets: Romex contributes to inorganic growth, pricing remains constructive, commercial investment should be maturing, and Rollins has entered the season with a fully staffed service and sales organization.</w:t>
      </w:r>
    </w:p>
    <w:p>
      <w:r>
        <w:pict>
          <v:rect style="width:0;height:1.5pt" o:hralign="center" o:hrstd="t" o:hr="t"/>
        </w:pict>
      </w:r>
    </w:p>
    <w:bookmarkEnd w:id="15"/>
    <w:bookmarkStart w:id="16" w:name="X44523524c0e5faadfc871e31cfa544bbf8a9088"/>
    <w:p>
      <w:pPr>
        <w:pStyle w:val="Heading2"/>
      </w:pPr>
      <w:r>
        <w:t xml:space="preserve">Cash flow, balance sheet, and capital allocation</w:t>
      </w:r>
    </w:p>
    <w:p>
      <w:pPr>
        <w:pStyle w:val="FirstParagraph"/>
      </w:pPr>
      <w:r>
        <w:t xml:space="preserve">Cash conversion should improve from the distorted 1Q result. Free cash flow was</w:t>
      </w:r>
      <w:r>
        <w:t xml:space="preserve"> </w:t>
      </w:r>
      <w:r>
        <w:rPr>
          <w:b/>
          <w:bCs/>
        </w:rPr>
        <w:t xml:space="preserve">$111 million</w:t>
      </w:r>
      <w:r>
        <w:t xml:space="preserve"> </w:t>
      </w:r>
      <w:r>
        <w:t xml:space="preserve">in 1Q, down year over year, but management attributed the decline largely to:</w:t>
      </w:r>
    </w:p>
    <w:p>
      <w:pPr>
        <w:pStyle w:val="Compact"/>
        <w:numPr>
          <w:ilvl w:val="0"/>
          <w:numId w:val="1005"/>
        </w:numPr>
      </w:pPr>
      <w:r>
        <w:rPr>
          <w:b/>
          <w:bCs/>
        </w:rPr>
        <w:t xml:space="preserve">$39.5 million</w:t>
      </w:r>
      <w:r>
        <w:t xml:space="preserve"> </w:t>
      </w:r>
      <w:r>
        <w:t xml:space="preserve">of timing related to tax-credit planning; and</w:t>
      </w:r>
    </w:p>
    <w:p>
      <w:pPr>
        <w:pStyle w:val="Compact"/>
        <w:numPr>
          <w:ilvl w:val="0"/>
          <w:numId w:val="1005"/>
        </w:numPr>
      </w:pPr>
      <w:r>
        <w:rPr>
          <w:b/>
          <w:bCs/>
        </w:rPr>
        <w:t xml:space="preserve">$8.8 million</w:t>
      </w:r>
      <w:r>
        <w:t xml:space="preserve"> </w:t>
      </w:r>
      <w:r>
        <w:t xml:space="preserve">related to the move to semiannual interest payments on the 2035 notes.</w:t>
      </w:r>
    </w:p>
    <w:p>
      <w:pPr>
        <w:pStyle w:val="FirstParagraph"/>
      </w:pPr>
      <w:r>
        <w:t xml:space="preserve">Management said those timing effects should moderate during the year, with a more meaningful benefit by 4Q. Thus, a better cash-flow trend in 2Q would support confidence in the earnings quality and full-year cash-conversion outlook.</w:t>
      </w:r>
    </w:p>
    <w:p>
      <w:pPr>
        <w:pStyle w:val="BodyText"/>
      </w:pPr>
      <w:r>
        <w:t xml:space="preserve">The balance sheet remains flexible despite acquisition activity:</w:t>
      </w:r>
    </w:p>
    <w:p>
      <w:pPr>
        <w:pStyle w:val="Compact"/>
        <w:numPr>
          <w:ilvl w:val="0"/>
          <w:numId w:val="1006"/>
        </w:numPr>
      </w:pPr>
      <w:r>
        <w:t xml:space="preserve">1Q leverage:</w:t>
      </w:r>
      <w:r>
        <w:t xml:space="preserve"> </w:t>
      </w:r>
      <w:r>
        <w:rPr>
          <w:b/>
          <w:bCs/>
        </w:rPr>
        <w:t xml:space="preserve">0.9x</w:t>
      </w:r>
    </w:p>
    <w:p>
      <w:pPr>
        <w:pStyle w:val="Compact"/>
        <w:numPr>
          <w:ilvl w:val="0"/>
          <w:numId w:val="1006"/>
        </w:numPr>
      </w:pPr>
      <w:r>
        <w:t xml:space="preserve">March 31 commercial-paper borrowings:</w:t>
      </w:r>
      <w:r>
        <w:t xml:space="preserve"> </w:t>
      </w:r>
      <w:r>
        <w:rPr>
          <w:b/>
          <w:bCs/>
        </w:rPr>
        <w:t xml:space="preserve">$163.9 million</w:t>
      </w:r>
    </w:p>
    <w:p>
      <w:pPr>
        <w:pStyle w:val="Compact"/>
        <w:numPr>
          <w:ilvl w:val="0"/>
          <w:numId w:val="1006"/>
        </w:numPr>
      </w:pPr>
      <w:r>
        <w:t xml:space="preserve">Long-term senior notes:</w:t>
      </w:r>
      <w:r>
        <w:t xml:space="preserve"> </w:t>
      </w:r>
      <w:r>
        <w:rPr>
          <w:b/>
          <w:bCs/>
        </w:rPr>
        <w:t xml:space="preserve">$500 million</w:t>
      </w:r>
    </w:p>
    <w:p>
      <w:pPr>
        <w:pStyle w:val="Compact"/>
        <w:numPr>
          <w:ilvl w:val="0"/>
          <w:numId w:val="1006"/>
        </w:numPr>
      </w:pPr>
      <w:r>
        <w:t xml:space="preserve">Revolving-credit-facility borrowings:</w:t>
      </w:r>
      <w:r>
        <w:t xml:space="preserve"> </w:t>
      </w:r>
      <w:r>
        <w:rPr>
          <w:b/>
          <w:bCs/>
        </w:rPr>
        <w:t xml:space="preserve">none</w:t>
      </w:r>
    </w:p>
    <w:p>
      <w:pPr>
        <w:pStyle w:val="Compact"/>
        <w:numPr>
          <w:ilvl w:val="0"/>
          <w:numId w:val="1006"/>
        </w:numPr>
      </w:pPr>
      <w:r>
        <w:t xml:space="preserve">Revolving-credit facility:</w:t>
      </w:r>
      <w:r>
        <w:t xml:space="preserve"> </w:t>
      </w:r>
      <w:r>
        <w:rPr>
          <w:b/>
          <w:bCs/>
        </w:rPr>
        <w:t xml:space="preserve">$1 billion</w:t>
      </w:r>
      <w:r>
        <w:t xml:space="preserve">, plus potential expansion capacity</w:t>
      </w:r>
    </w:p>
    <w:p>
      <w:pPr>
        <w:pStyle w:val="FirstParagraph"/>
      </w:pPr>
      <w:r>
        <w:t xml:space="preserve">This leaves Rollins able to continue its disciplined M&amp;A strategy while maintaining its dividend and investing in organic growth.</w:t>
      </w:r>
    </w:p>
    <w:p>
      <w:r>
        <w:pict>
          <v:rect style="width:0;height:1.5pt" o:hralign="center" o:hrstd="t" o:hr="t"/>
        </w:pict>
      </w:r>
    </w:p>
    <w:bookmarkEnd w:id="16"/>
    <w:bookmarkStart w:id="17" w:name="what-could-drive-a-positive-reaction"/>
    <w:p>
      <w:pPr>
        <w:pStyle w:val="Heading2"/>
      </w:pPr>
      <w:r>
        <w:t xml:space="preserve">What could drive a positive reaction</w:t>
      </w:r>
    </w:p>
    <w:p>
      <w:pPr>
        <w:pStyle w:val="FirstParagraph"/>
      </w:pPr>
      <w:r>
        <w:t xml:space="preserve">A favorable market reaction would likely require some combination of:</w:t>
      </w:r>
    </w:p>
    <w:p>
      <w:pPr>
        <w:pStyle w:val="Compact"/>
        <w:numPr>
          <w:ilvl w:val="0"/>
          <w:numId w:val="1007"/>
        </w:numPr>
      </w:pPr>
      <w:r>
        <w:t xml:space="preserve">Organic revenue growth at or above the</w:t>
      </w:r>
      <w:r>
        <w:t xml:space="preserve"> </w:t>
      </w:r>
      <w:r>
        <w:rPr>
          <w:b/>
          <w:bCs/>
        </w:rPr>
        <w:t xml:space="preserve">7%–8%</w:t>
      </w:r>
      <w:r>
        <w:t xml:space="preserve"> </w:t>
      </w:r>
      <w:r>
        <w:t xml:space="preserve">full-year target;</w:t>
      </w:r>
    </w:p>
    <w:p>
      <w:pPr>
        <w:pStyle w:val="Compact"/>
        <w:numPr>
          <w:ilvl w:val="0"/>
          <w:numId w:val="1007"/>
        </w:numPr>
      </w:pPr>
      <w:r>
        <w:t xml:space="preserve">Residential growth recovering from 1Q’s weather-affected 4.2% organic rate;</w:t>
      </w:r>
    </w:p>
    <w:p>
      <w:pPr>
        <w:pStyle w:val="Compact"/>
        <w:numPr>
          <w:ilvl w:val="0"/>
          <w:numId w:val="1007"/>
        </w:numPr>
      </w:pPr>
      <w:r>
        <w:t xml:space="preserve">Continued commercial and termite/ancillary outperformance;</w:t>
      </w:r>
    </w:p>
    <w:p>
      <w:pPr>
        <w:pStyle w:val="Compact"/>
        <w:numPr>
          <w:ilvl w:val="0"/>
          <w:numId w:val="1007"/>
        </w:numPr>
      </w:pPr>
      <w:r>
        <w:t xml:space="preserve">Visible gross- and operating-margin expansion sequentially from 1Q;</w:t>
      </w:r>
    </w:p>
    <w:p>
      <w:pPr>
        <w:pStyle w:val="Compact"/>
        <w:numPr>
          <w:ilvl w:val="0"/>
          <w:numId w:val="1007"/>
        </w:numPr>
      </w:pPr>
      <w:r>
        <w:t xml:space="preserve">Evidence that fleet-related headwinds are fading as expected;</w:t>
      </w:r>
    </w:p>
    <w:p>
      <w:pPr>
        <w:pStyle w:val="Compact"/>
        <w:numPr>
          <w:ilvl w:val="0"/>
          <w:numId w:val="1007"/>
        </w:numPr>
      </w:pPr>
      <w:r>
        <w:t xml:space="preserve">No further material insurance-and-claims reserve build;</w:t>
      </w:r>
    </w:p>
    <w:p>
      <w:pPr>
        <w:pStyle w:val="Compact"/>
        <w:numPr>
          <w:ilvl w:val="0"/>
          <w:numId w:val="1007"/>
        </w:numPr>
      </w:pPr>
      <w:r>
        <w:t xml:space="preserve">Maintenance—or an increase—of the 2026 growth and cash-conversion outlook.</w:t>
      </w:r>
    </w:p>
    <w:bookmarkEnd w:id="17"/>
    <w:bookmarkStart w:id="18" w:name="what-could-disappoint"/>
    <w:p>
      <w:pPr>
        <w:pStyle w:val="Heading2"/>
      </w:pPr>
      <w:r>
        <w:t xml:space="preserve">What could disappoint</w:t>
      </w:r>
    </w:p>
    <w:p>
      <w:pPr>
        <w:pStyle w:val="FirstParagraph"/>
      </w:pPr>
      <w:r>
        <w:t xml:space="preserve">The principal downside risks are:</w:t>
      </w:r>
    </w:p>
    <w:p>
      <w:pPr>
        <w:pStyle w:val="Compact"/>
        <w:numPr>
          <w:ilvl w:val="0"/>
          <w:numId w:val="1008"/>
        </w:numPr>
      </w:pPr>
      <w:r>
        <w:t xml:space="preserve">Organic growth falling below the guided range, particularly if residential remains sluggish;</w:t>
      </w:r>
    </w:p>
    <w:p>
      <w:pPr>
        <w:pStyle w:val="Compact"/>
        <w:numPr>
          <w:ilvl w:val="0"/>
          <w:numId w:val="1008"/>
        </w:numPr>
      </w:pPr>
      <w:r>
        <w:t xml:space="preserve">Another quarter of unpredictable insurance/claims pressure;</w:t>
      </w:r>
    </w:p>
    <w:p>
      <w:pPr>
        <w:pStyle w:val="Compact"/>
        <w:numPr>
          <w:ilvl w:val="0"/>
          <w:numId w:val="1008"/>
        </w:numPr>
      </w:pPr>
      <w:r>
        <w:t xml:space="preserve">Insufficient margin recovery despite seasonally stronger revenue;</w:t>
      </w:r>
    </w:p>
    <w:p>
      <w:pPr>
        <w:pStyle w:val="Compact"/>
        <w:numPr>
          <w:ilvl w:val="0"/>
          <w:numId w:val="1008"/>
        </w:numPr>
      </w:pPr>
      <w:r>
        <w:t xml:space="preserve">Marketing and staffing investments remaining elevated without clear evidence of improved acquisition efficiency, retention, or sales productivity;</w:t>
      </w:r>
    </w:p>
    <w:p>
      <w:pPr>
        <w:pStyle w:val="Compact"/>
        <w:numPr>
          <w:ilvl w:val="0"/>
          <w:numId w:val="1008"/>
        </w:numPr>
      </w:pPr>
      <w:r>
        <w:t xml:space="preserve">M&amp;A contribution masking weaker underlying demand;</w:t>
      </w:r>
    </w:p>
    <w:p>
      <w:pPr>
        <w:pStyle w:val="Compact"/>
        <w:numPr>
          <w:ilvl w:val="0"/>
          <w:numId w:val="1008"/>
        </w:numPr>
      </w:pPr>
      <w:r>
        <w:t xml:space="preserve">A cautious outlook on the remainder of peak season.</w:t>
      </w:r>
    </w:p>
    <w:p>
      <w:r>
        <w:pict>
          <v:rect style="width:0;height:1.5pt" o:hralign="center" o:hrstd="t" o:hr="t"/>
        </w:pict>
      </w:r>
    </w:p>
    <w:bookmarkEnd w:id="18"/>
    <w:bookmarkStart w:id="21" w:name="investor-takeaway"/>
    <w:p>
      <w:pPr>
        <w:pStyle w:val="Heading2"/>
      </w:pPr>
      <w:r>
        <w:t xml:space="preserve">Investor takeaway</w:t>
      </w:r>
    </w:p>
    <w:p>
      <w:pPr>
        <w:pStyle w:val="FirstParagraph"/>
      </w:pPr>
      <w:r>
        <w:rPr>
          <w:b/>
          <w:bCs/>
        </w:rPr>
        <w:t xml:space="preserve">The 2Q26 report is principally a margin-validation event.</w:t>
      </w:r>
      <w:r>
        <w:t xml:space="preserve"> </w:t>
      </w:r>
      <w:r>
        <w:t xml:space="preserve">Rollins’ long-term growth profile remains attractive: recurring pest-control revenue, pricing power, commercial expansion, ancillary-service cross-selling, strong cash conversion, and a balance sheet capable of supporting bolt-on acquisitions.</w:t>
      </w:r>
    </w:p>
    <w:p>
      <w:pPr>
        <w:pStyle w:val="BodyText"/>
      </w:pPr>
      <w:r>
        <w:t xml:space="preserve">However, after 1Q’s margin compression, investors need proof that the company can translate its healthy demand backdrop into stronger flow-through. If organic growth remains around the 7%–8% target and margins improve as management indicated, the report should reinforce the argument that 1Q was a seasonal and timing-driven trough rather than a deterioration in the earnings algorithm.</w:t>
      </w:r>
    </w:p>
    <w:bookmarkStart w:id="19" w:name="key-questions-for-the-call"/>
    <w:p>
      <w:pPr>
        <w:pStyle w:val="Heading3"/>
      </w:pPr>
      <w:r>
        <w:t xml:space="preserve">Key questions for the call</w:t>
      </w:r>
    </w:p>
    <w:p>
      <w:pPr>
        <w:pStyle w:val="Compact"/>
        <w:numPr>
          <w:ilvl w:val="0"/>
          <w:numId w:val="1009"/>
        </w:numPr>
      </w:pPr>
      <w:r>
        <w:t xml:space="preserve">How did monthly organic growth trend through April, May, and June?</w:t>
      </w:r>
    </w:p>
    <w:p>
      <w:pPr>
        <w:pStyle w:val="Compact"/>
        <w:numPr>
          <w:ilvl w:val="0"/>
          <w:numId w:val="1009"/>
        </w:numPr>
      </w:pPr>
      <w:r>
        <w:t xml:space="preserve">What were organic-growth rates in residential, commercial, and termite/ancillary?</w:t>
      </w:r>
    </w:p>
    <w:p>
      <w:pPr>
        <w:pStyle w:val="Compact"/>
        <w:numPr>
          <w:ilvl w:val="0"/>
          <w:numId w:val="1009"/>
        </w:numPr>
      </w:pPr>
      <w:r>
        <w:t xml:space="preserve">How much did pricing contribute, and did volume/customer starts meet expectations?</w:t>
      </w:r>
    </w:p>
    <w:p>
      <w:pPr>
        <w:pStyle w:val="Compact"/>
        <w:numPr>
          <w:ilvl w:val="0"/>
          <w:numId w:val="1009"/>
        </w:numPr>
      </w:pPr>
      <w:r>
        <w:t xml:space="preserve">Did fleet gains normalize as anticipated?</w:t>
      </w:r>
    </w:p>
    <w:p>
      <w:pPr>
        <w:pStyle w:val="Compact"/>
        <w:numPr>
          <w:ilvl w:val="0"/>
          <w:numId w:val="1009"/>
        </w:numPr>
      </w:pPr>
      <w:r>
        <w:t xml:space="preserve">Has insurance-and-claims expense moderated, and what is the updated outlook for the remainder of 2026?</w:t>
      </w:r>
    </w:p>
    <w:p>
      <w:pPr>
        <w:pStyle w:val="Compact"/>
        <w:numPr>
          <w:ilvl w:val="0"/>
          <w:numId w:val="1009"/>
        </w:numPr>
      </w:pPr>
      <w:r>
        <w:t xml:space="preserve">Are customer-retention and first-year-technician-retention initiatives producing measurable savings or revenue benefits?</w:t>
      </w:r>
    </w:p>
    <w:p>
      <w:pPr>
        <w:pStyle w:val="Compact"/>
        <w:numPr>
          <w:ilvl w:val="0"/>
          <w:numId w:val="1009"/>
        </w:numPr>
      </w:pPr>
      <w:r>
        <w:t xml:space="preserve">Is Romex performing in line with the acquisition case, and has the M&amp;A outlook changed?</w:t>
      </w:r>
    </w:p>
    <w:p>
      <w:pPr>
        <w:pStyle w:val="Compact"/>
        <w:numPr>
          <w:ilvl w:val="0"/>
          <w:numId w:val="1009"/>
        </w:numPr>
      </w:pPr>
      <w:r>
        <w:t xml:space="preserve">Does management still see 2026 organic growth of 7%–8%, M&amp;A growth of 2%–3%, and cash conversion above 100%?</w:t>
      </w:r>
    </w:p>
    <w:p>
      <w:r>
        <w:pict>
          <v:rect style="width:0;height:1.5pt" o:hralign="center" o:hrstd="t" o:hr="t"/>
        </w:pict>
      </w:r>
    </w:p>
    <w:bookmarkEnd w:id="19"/>
    <w:bookmarkStart w:id="20" w:name="sources-reviewed"/>
    <w:p>
      <w:pPr>
        <w:pStyle w:val="Heading3"/>
      </w:pPr>
      <w:r>
        <w:t xml:space="preserve">Sources reviewed</w:t>
      </w:r>
    </w:p>
    <w:p>
      <w:pPr>
        <w:pStyle w:val="Compact"/>
        <w:numPr>
          <w:ilvl w:val="0"/>
          <w:numId w:val="1010"/>
        </w:numPr>
      </w:pPr>
      <w:r>
        <w:t xml:space="preserve">Rollins 1Q26 earnings release, 10-Q, and earnings-call transcript.</w:t>
      </w:r>
    </w:p>
    <w:p>
      <w:pPr>
        <w:pStyle w:val="Compact"/>
        <w:numPr>
          <w:ilvl w:val="0"/>
          <w:numId w:val="1010"/>
        </w:numPr>
      </w:pPr>
      <w:r>
        <w:t xml:space="preserve">Rollins 2Q25 earnings-call transcript.</w:t>
      </w:r>
    </w:p>
    <w:p>
      <w:pPr>
        <w:pStyle w:val="Compact"/>
        <w:numPr>
          <w:ilvl w:val="0"/>
          <w:numId w:val="1010"/>
        </w:numPr>
      </w:pPr>
      <w:r>
        <w:t xml:space="preserve">Rollins July 8, 2026 earnings-date announcement.</w:t>
      </w:r>
    </w:p>
    <w:p>
      <w:pPr>
        <w:pStyle w:val="Compact"/>
        <w:numPr>
          <w:ilvl w:val="0"/>
          <w:numId w:val="1010"/>
        </w:numPr>
      </w:pPr>
      <w:r>
        <w:t xml:space="preserve">ROL historical share-price data through July 21,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2026-07-22T01:04:39Z</dcterms:created>
  <dcterms:modified xsi:type="dcterms:W3CDTF">2026-07-22T01:04:39Z</dcterms:modified>
</cp:coreProperties>
</file>

<file path=docProps/custom.xml><?xml version="1.0" encoding="utf-8"?>
<Properties xmlns="http://schemas.openxmlformats.org/officeDocument/2006/custom-properties" xmlns:vt="http://schemas.openxmlformats.org/officeDocument/2006/docPropsVTypes"/>
</file>