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Rollins, Inc. (ROL)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Rollins, Inc.</w:t>
            </w:r>
          </w:p>
        </w:tc>
        <w:tc>
          <w:tcPr>
            <w:tcW w:type="dxa" w:w="2160"/>
          </w:tcPr>
          <w:p>
            <w:r>
              <w:rPr>
                <w:rFonts w:ascii="Calibri" w:hAnsi="Calibri"/>
                <w:b/>
                <w:sz w:val="22"/>
              </w:rPr>
              <w:t>Ticker</w:t>
            </w:r>
          </w:p>
        </w:tc>
        <w:tc>
          <w:tcPr>
            <w:tcW w:type="dxa" w:w="2160"/>
          </w:tcPr>
          <w:p>
            <w:r>
              <w:rPr>
                <w:rFonts w:ascii="Calibri" w:hAnsi="Calibri"/>
                <w:sz w:val="22"/>
              </w:rPr>
              <w:t>ROL (NYSE)</w:t>
            </w:r>
          </w:p>
        </w:tc>
      </w:tr>
      <w:tr>
        <w:tc>
          <w:tcPr>
            <w:tcW w:type="dxa" w:w="2160"/>
          </w:tcPr>
          <w:p>
            <w:r>
              <w:rPr>
                <w:rFonts w:ascii="Calibri" w:hAnsi="Calibri"/>
                <w:b/>
                <w:sz w:val="22"/>
              </w:rPr>
              <w:t>Upcoming Earnings Date</w:t>
            </w:r>
          </w:p>
        </w:tc>
        <w:tc>
          <w:tcPr>
            <w:tcW w:type="dxa" w:w="2160"/>
          </w:tcPr>
          <w:p>
            <w:r>
              <w:rPr>
                <w:rFonts w:ascii="Calibri" w:hAnsi="Calibri"/>
                <w:sz w:val="22"/>
              </w:rPr>
              <w:t>July 23, 2026 (Q2 2026)</w:t>
            </w:r>
          </w:p>
        </w:tc>
        <w:tc>
          <w:tcPr>
            <w:tcW w:type="dxa" w:w="2160"/>
          </w:tcPr>
          <w:p>
            <w:r>
              <w:rPr>
                <w:rFonts w:ascii="Calibri" w:hAnsi="Calibri"/>
                <w:b/>
                <w:sz w:val="22"/>
              </w:rPr>
              <w:t>Preparation Date</w:t>
            </w:r>
          </w:p>
        </w:tc>
        <w:tc>
          <w:tcPr>
            <w:tcW w:type="dxa" w:w="2160"/>
          </w:tcPr>
          <w:p>
            <w:r>
              <w:rPr>
                <w:rFonts w:ascii="Calibri" w:hAnsi="Calibri"/>
                <w:sz w:val="22"/>
              </w:rPr>
              <w:t>July 21, 2026</w:t>
            </w:r>
          </w:p>
        </w:tc>
      </w:tr>
      <w:tr>
        <w:tc>
          <w:tcPr>
            <w:tcW w:type="dxa" w:w="2160"/>
          </w:tcPr>
          <w:p>
            <w:r>
              <w:rPr>
                <w:rFonts w:ascii="Calibri" w:hAnsi="Calibri"/>
                <w:b/>
                <w:sz w:val="22"/>
              </w:rPr>
              <w:t>Last Reported Period</w:t>
            </w:r>
          </w:p>
        </w:tc>
        <w:tc>
          <w:tcPr>
            <w:tcW w:type="dxa" w:w="2160"/>
          </w:tcPr>
          <w:p>
            <w:r>
              <w:rPr>
                <w:rFonts w:ascii="Calibri" w:hAnsi="Calibri"/>
                <w:sz w:val="22"/>
              </w:rPr>
              <w:t>Q1 2026 (reported April 22, 2026)</w:t>
            </w:r>
          </w:p>
        </w:tc>
        <w:tc>
          <w:tcPr>
            <w:tcW w:type="dxa" w:w="2160"/>
          </w:tcPr>
          <w:p>
            <w:r>
              <w:rPr>
                <w:rFonts w:ascii="Calibri" w:hAnsi="Calibri"/>
                <w:b/>
                <w:sz w:val="22"/>
              </w:rPr>
              <w:t>Sector ETF Benchmark</w:t>
            </w:r>
          </w:p>
        </w:tc>
        <w:tc>
          <w:tcPr>
            <w:tcW w:type="dxa" w:w="2160"/>
          </w:tcPr>
          <w:p>
            <w:r>
              <w:rPr>
                <w:rFonts w:ascii="Calibri" w:hAnsi="Calibri"/>
                <w:sz w:val="22"/>
              </w:rPr>
              <w:t>XLI (Industrials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mixed — consensus sits at a manageable bar on revenue (~$1.09B, +7.0% organic implied) but the single biggest swing factor is whether peak-season volume in June/July is enough to offset the April–May choppiness management flagged, and whether incremental margins show meaningful sequential improvement after a muted Q1.</w:t>
      </w:r>
    </w:p>
    <w:p>
      <w:r>
        <w:rPr>
          <w:rFonts w:ascii="Calibri" w:hAnsi="Calibri"/>
          <w:color w:val="525866"/>
          <w:sz w:val="22"/>
        </w:rPr>
        <w:t xml:space="preserve">Heading into Q2 2026, Rollins faces a quarter where the </w:t>
      </w:r>
      <w:r>
        <w:rPr>
          <w:rFonts w:ascii="Calibri" w:hAnsi="Calibri"/>
          <w:b/>
          <w:color w:val="525866"/>
          <w:sz w:val="22"/>
        </w:rPr>
        <w:t>bar is achievable but not low</w:t>
      </w:r>
      <w:r>
        <w:rPr>
          <w:rFonts w:ascii="Calibri" w:hAnsi="Calibri"/>
          <w:color w:val="525866"/>
          <w:sz w:val="22"/>
        </w:rPr>
        <w:t xml:space="preserve">: consensus expects revenue of ~$1.09B (implying ~7.0% organic growth) and operating EPS of ~$0.34, both within the company's reaffirmed full-year 7–8% organic growth guidance. Management explicitly acknowledged </w:t>
      </w:r>
      <w:r>
        <w:rPr>
          <w:rFonts w:ascii="Calibri" w:hAnsi="Calibri"/>
          <w:b/>
          <w:color w:val="525866"/>
          <w:sz w:val="22"/>
        </w:rPr>
        <w:t>continued choppiness in April and into May</w:t>
      </w:r>
      <w:r>
        <w:rPr>
          <w:rFonts w:ascii="Calibri" w:hAnsi="Calibri"/>
          <w:color w:val="525866"/>
          <w:sz w:val="22"/>
        </w:rPr>
        <w:t xml:space="preserve"> at the June Baird conference, attributing softness to one-time/ancillary services (exclusion, insulation) facing consumer pressure, while the ~75% recurring base remains resilient — a distinction that is critical to the Q2 read. Guidance tone has been </w:t>
      </w:r>
      <w:r>
        <w:rPr>
          <w:rFonts w:ascii="Calibri" w:hAnsi="Calibri"/>
          <w:b/>
          <w:color w:val="525866"/>
          <w:sz w:val="22"/>
        </w:rPr>
        <w:t>consistently reaffirmed</w:t>
      </w:r>
      <w:r>
        <w:rPr>
          <w:rFonts w:ascii="Calibri" w:hAnsi="Calibri"/>
          <w:color w:val="525866"/>
          <w:sz w:val="22"/>
        </w:rPr>
        <w:t xml:space="preserve"> across the May Investor Day and June conferences, with incoming CFO Will Harkins explicitly stating "no reason to come off 7–8% guidance," though the CFO transition itself (Ken Krause departed June 15) has weighed on sentiment and triggered a Bernstein downgrade. Estimate revisions have been </w:t>
      </w:r>
      <w:r>
        <w:rPr>
          <w:rFonts w:ascii="Calibri" w:hAnsi="Calibri"/>
          <w:b/>
          <w:color w:val="525866"/>
          <w:sz w:val="22"/>
        </w:rPr>
        <w:t>modestly negative since Q1 earnings</w:t>
      </w:r>
      <w:r>
        <w:rPr>
          <w:rFonts w:ascii="Calibri" w:hAnsi="Calibri"/>
          <w:color w:val="525866"/>
          <w:sz w:val="22"/>
        </w:rPr>
        <w:t xml:space="preserve"> — Q2 organic growth consensus slipped from ~7.1% to ~7.0% — suggesting the street has partially de-risked but not fully priced in a miss. The stock has </w:t>
      </w:r>
      <w:r>
        <w:rPr>
          <w:rFonts w:ascii="Calibri" w:hAnsi="Calibri"/>
          <w:b/>
          <w:color w:val="525866"/>
          <w:sz w:val="22"/>
        </w:rPr>
        <w:t>dramatically underperformed</w:t>
      </w:r>
      <w:r>
        <w:rPr>
          <w:rFonts w:ascii="Calibri" w:hAnsi="Calibri"/>
          <w:color w:val="525866"/>
          <w:sz w:val="22"/>
        </w:rPr>
        <w:t xml:space="preserve"> since Q1 earnings, falling ~20% vs. XLI +4.5% and SPY +5.2%, trading near 52-week lows at ~$44 and implying the market has already discounted meaningful execution risk on the margin improvement thesis. The </w:t>
      </w:r>
      <w:r>
        <w:rPr>
          <w:rFonts w:ascii="Calibri" w:hAnsi="Calibri"/>
          <w:b/>
          <w:color w:val="525866"/>
          <w:sz w:val="22"/>
        </w:rPr>
        <w:t>key wildcard</w:t>
      </w:r>
      <w:r>
        <w:rPr>
          <w:rFonts w:ascii="Calibri" w:hAnsi="Calibri"/>
          <w:color w:val="525866"/>
          <w:sz w:val="22"/>
        </w:rPr>
        <w:t xml:space="preserve"> is the June/July peak-season exit rate: if management can show organic growth accelerating back toward 8%+ (as it did in March), the stock could re-rate sharply given how much bad news is already in the price; conversely, a second consecutive quarter of sub-7% organic growth would validate the bear case on structural demand softness.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but not easy bar — ~7.0% organic growth and ~$0.34 operating EPS for Q2 2026. The bigger swing factor is </w:t>
      </w:r>
      <w:r>
        <w:rPr>
          <w:rFonts w:ascii="Calibri" w:hAnsi="Calibri"/>
          <w:b/>
          <w:color w:val="525866"/>
          <w:sz w:val="22"/>
        </w:rPr>
        <w:t>incremental margin</w:t>
      </w:r>
      <w:r>
        <w:rPr>
          <w:rFonts w:ascii="Calibri" w:hAnsi="Calibri"/>
          <w:color w:val="525866"/>
          <w:sz w:val="22"/>
        </w:rPr>
        <w:t>, where the street expects ~23.4% EBITDA margin vs. a muted 19.8% in Q1; any shortfall here will be punished given the CFO transition overhang.</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(implied)</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Revenue ($M)</w:t>
            </w:r>
          </w:p>
        </w:tc>
        <w:tc>
          <w:tcPr>
            <w:tcW w:type="dxa" w:w="1234"/>
          </w:tcPr>
          <w:p>
            <w:r>
              <w:rPr>
                <w:rFonts w:ascii="Calibri" w:hAnsi="Calibri"/>
                <w:sz w:val="22"/>
              </w:rPr>
              <w:t>$906.4M</w:t>
            </w:r>
          </w:p>
        </w:tc>
        <w:tc>
          <w:tcPr>
            <w:tcW w:type="dxa" w:w="1234"/>
          </w:tcPr>
          <w:p>
            <w:r>
              <w:rPr>
                <w:rFonts w:ascii="Calibri" w:hAnsi="Calibri"/>
                <w:sz w:val="22"/>
              </w:rPr>
              <w:t>$999.5M</w:t>
            </w:r>
          </w:p>
        </w:tc>
        <w:tc>
          <w:tcPr>
            <w:tcW w:type="dxa" w:w="1234"/>
          </w:tcPr>
          <w:p>
            <w:r>
              <w:rPr>
                <w:rFonts w:ascii="Calibri" w:hAnsi="Calibri"/>
                <w:sz w:val="22"/>
              </w:rPr>
              <w:t>$1,092.7M</w:t>
            </w:r>
          </w:p>
        </w:tc>
        <w:tc>
          <w:tcPr>
            <w:tcW w:type="dxa" w:w="1234"/>
          </w:tcPr>
          <w:p>
            <w:r>
              <w:rPr>
                <w:rFonts w:ascii="Calibri" w:hAnsi="Calibri"/>
                <w:sz w:val="22"/>
              </w:rPr>
              <w:t>+9.3% YoY</w:t>
            </w:r>
          </w:p>
        </w:tc>
        <w:tc>
          <w:tcPr>
            <w:tcW w:type="dxa" w:w="1234"/>
          </w:tcPr>
          <w:p>
            <w:r>
              <w:rPr>
                <w:rFonts w:ascii="Calibri" w:hAnsi="Calibri"/>
                <w:sz w:val="22"/>
              </w:rPr>
              <w:t>7–8% organic + 2–3% M&amp;A</w:t>
            </w:r>
          </w:p>
        </w:tc>
        <w:tc>
          <w:tcPr>
            <w:tcW w:type="dxa" w:w="1234"/>
          </w:tcPr>
          <w:p>
            <w:r>
              <w:rPr>
                <w:rFonts w:ascii="Calibri" w:hAnsi="Calibri"/>
                <w:sz w:val="22"/>
              </w:rPr>
              <w:t>Within range</w:t>
            </w:r>
          </w:p>
        </w:tc>
      </w:tr>
      <w:tr>
        <w:tc>
          <w:tcPr>
            <w:tcW w:type="dxa" w:w="1234"/>
          </w:tcPr>
          <w:p>
            <w:r>
              <w:rPr>
                <w:rFonts w:ascii="Calibri" w:hAnsi="Calibri"/>
                <w:sz w:val="22"/>
              </w:rPr>
              <w:t>Organic Revenue Growth (%)</w:t>
            </w:r>
          </w:p>
        </w:tc>
        <w:tc>
          <w:tcPr>
            <w:tcW w:type="dxa" w:w="1234"/>
          </w:tcPr>
          <w:p>
            <w:r>
              <w:rPr>
                <w:rFonts w:ascii="Calibri" w:hAnsi="Calibri"/>
                <w:sz w:val="22"/>
              </w:rPr>
              <w:t>6.6%</w:t>
            </w:r>
          </w:p>
        </w:tc>
        <w:tc>
          <w:tcPr>
            <w:tcW w:type="dxa" w:w="1234"/>
          </w:tcPr>
          <w:p>
            <w:r>
              <w:rPr>
                <w:rFonts w:ascii="Calibri" w:hAnsi="Calibri"/>
                <w:sz w:val="22"/>
              </w:rPr>
              <w:t>7.3%</w:t>
            </w:r>
          </w:p>
        </w:tc>
        <w:tc>
          <w:tcPr>
            <w:tcW w:type="dxa" w:w="1234"/>
          </w:tcPr>
          <w:p>
            <w:r>
              <w:rPr>
                <w:rFonts w:ascii="Calibri" w:hAnsi="Calibri"/>
                <w:sz w:val="22"/>
              </w:rPr>
              <w:t>7.0%</w:t>
            </w:r>
          </w:p>
        </w:tc>
        <w:tc>
          <w:tcPr>
            <w:tcW w:type="dxa" w:w="1234"/>
          </w:tcPr>
          <w:p>
            <w:r>
              <w:rPr>
                <w:rFonts w:ascii="Calibri" w:hAnsi="Calibri"/>
                <w:sz w:val="22"/>
              </w:rPr>
              <w:t>-0.3 pp YoY</w:t>
            </w:r>
          </w:p>
        </w:tc>
        <w:tc>
          <w:tcPr>
            <w:tcW w:type="dxa" w:w="1234"/>
          </w:tcPr>
          <w:p>
            <w:r>
              <w:rPr>
                <w:rFonts w:ascii="Calibri" w:hAnsi="Calibri"/>
                <w:sz w:val="22"/>
              </w:rPr>
              <w:t>7–8% full year</w:t>
            </w:r>
          </w:p>
        </w:tc>
        <w:tc>
          <w:tcPr>
            <w:tcW w:type="dxa" w:w="1234"/>
          </w:tcPr>
          <w:p>
            <w:r>
              <w:rPr>
                <w:rFonts w:ascii="Calibri" w:hAnsi="Calibri"/>
                <w:sz w:val="22"/>
              </w:rPr>
              <w:t>At low end of range</w:t>
            </w:r>
          </w:p>
        </w:tc>
      </w:tr>
      <w:tr>
        <w:tc>
          <w:tcPr>
            <w:tcW w:type="dxa" w:w="1234"/>
          </w:tcPr>
          <w:p>
            <w:r>
              <w:rPr>
                <w:rFonts w:ascii="Calibri" w:hAnsi="Calibri"/>
                <w:sz w:val="22"/>
              </w:rPr>
              <w:t>Commercial Organic Growth (%)</w:t>
            </w:r>
          </w:p>
        </w:tc>
        <w:tc>
          <w:tcPr>
            <w:tcW w:type="dxa" w:w="1234"/>
          </w:tcPr>
          <w:p>
            <w:r>
              <w:rPr>
                <w:rFonts w:ascii="Calibri" w:hAnsi="Calibri"/>
                <w:sz w:val="22"/>
              </w:rPr>
              <w:t>7.7%</w:t>
            </w:r>
          </w:p>
        </w:tc>
        <w:tc>
          <w:tcPr>
            <w:tcW w:type="dxa" w:w="1234"/>
          </w:tcPr>
          <w:p>
            <w:r>
              <w:rPr>
                <w:rFonts w:ascii="Calibri" w:hAnsi="Calibri"/>
                <w:sz w:val="22"/>
              </w:rPr>
              <w:t>8.4%</w:t>
            </w:r>
          </w:p>
        </w:tc>
        <w:tc>
          <w:tcPr>
            <w:tcW w:type="dxa" w:w="1234"/>
          </w:tcPr>
          <w:p>
            <w:r>
              <w:rPr>
                <w:rFonts w:ascii="Calibri" w:hAnsi="Calibri"/>
                <w:sz w:val="22"/>
              </w:rPr>
              <w:t>7.7%</w:t>
            </w:r>
          </w:p>
        </w:tc>
        <w:tc>
          <w:tcPr>
            <w:tcW w:type="dxa" w:w="1234"/>
          </w:tcPr>
          <w:p>
            <w:r>
              <w:rPr>
                <w:rFonts w:ascii="Calibri" w:hAnsi="Calibri"/>
                <w:sz w:val="22"/>
              </w:rPr>
              <w:t>-0.7 pp YoY</w:t>
            </w:r>
          </w:p>
        </w:tc>
        <w:tc>
          <w:tcPr>
            <w:tcW w:type="dxa" w:w="1234"/>
          </w:tcPr>
          <w:p>
            <w:r>
              <w:rPr>
                <w:rFonts w:ascii="Calibri" w:hAnsi="Calibri"/>
                <w:sz w:val="22"/>
              </w:rPr>
              <w:t>Double-digit recurring</w:t>
            </w:r>
          </w:p>
        </w:tc>
        <w:tc>
          <w:tcPr>
            <w:tcW w:type="dxa" w:w="1234"/>
          </w:tcPr>
          <w:p>
            <w:r>
              <w:rPr>
                <w:rFonts w:ascii="Calibri" w:hAnsi="Calibri"/>
                <w:sz w:val="22"/>
              </w:rPr>
              <w:t>Below recurring target</w:t>
            </w:r>
          </w:p>
        </w:tc>
      </w:tr>
      <w:tr>
        <w:tc>
          <w:tcPr>
            <w:tcW w:type="dxa" w:w="1234"/>
          </w:tcPr>
          <w:p>
            <w:r>
              <w:rPr>
                <w:rFonts w:ascii="Calibri" w:hAnsi="Calibri"/>
                <w:sz w:val="22"/>
              </w:rPr>
              <w:t>Residential Organic Growth (%)</w:t>
            </w:r>
          </w:p>
        </w:tc>
        <w:tc>
          <w:tcPr>
            <w:tcW w:type="dxa" w:w="1234"/>
          </w:tcPr>
          <w:p>
            <w:r>
              <w:rPr>
                <w:rFonts w:ascii="Calibri" w:hAnsi="Calibri"/>
                <w:sz w:val="22"/>
              </w:rPr>
              <w:t>4.2%</w:t>
            </w:r>
          </w:p>
        </w:tc>
        <w:tc>
          <w:tcPr>
            <w:tcW w:type="dxa" w:w="1234"/>
          </w:tcPr>
          <w:p>
            <w:r>
              <w:rPr>
                <w:rFonts w:ascii="Calibri" w:hAnsi="Calibri"/>
                <w:sz w:val="22"/>
              </w:rPr>
              <w:t>4.9%</w:t>
            </w:r>
          </w:p>
        </w:tc>
        <w:tc>
          <w:tcPr>
            <w:tcW w:type="dxa" w:w="1234"/>
          </w:tcPr>
          <w:p>
            <w:r>
              <w:rPr>
                <w:rFonts w:ascii="Calibri" w:hAnsi="Calibri"/>
                <w:sz w:val="22"/>
              </w:rPr>
              <w:t>5.4%</w:t>
            </w:r>
          </w:p>
        </w:tc>
        <w:tc>
          <w:tcPr>
            <w:tcW w:type="dxa" w:w="1234"/>
          </w:tcPr>
          <w:p>
            <w:r>
              <w:rPr>
                <w:rFonts w:ascii="Calibri" w:hAnsi="Calibri"/>
                <w:sz w:val="22"/>
              </w:rPr>
              <w:t>+0.5 pp YoY</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Termite &amp; Ancillary Organic Growth (%)</w:t>
            </w:r>
          </w:p>
        </w:tc>
        <w:tc>
          <w:tcPr>
            <w:tcW w:type="dxa" w:w="1234"/>
          </w:tcPr>
          <w:p>
            <w:r>
              <w:rPr>
                <w:rFonts w:ascii="Calibri" w:hAnsi="Calibri"/>
                <w:sz w:val="22"/>
              </w:rPr>
              <w:t>9.8%</w:t>
            </w:r>
          </w:p>
        </w:tc>
        <w:tc>
          <w:tcPr>
            <w:tcW w:type="dxa" w:w="1234"/>
          </w:tcPr>
          <w:p>
            <w:r>
              <w:rPr>
                <w:rFonts w:ascii="Calibri" w:hAnsi="Calibri"/>
                <w:sz w:val="22"/>
              </w:rPr>
              <w:t>10.3%</w:t>
            </w:r>
          </w:p>
        </w:tc>
        <w:tc>
          <w:tcPr>
            <w:tcW w:type="dxa" w:w="1234"/>
          </w:tcPr>
          <w:p>
            <w:r>
              <w:rPr>
                <w:rFonts w:ascii="Calibri" w:hAnsi="Calibri"/>
                <w:sz w:val="22"/>
              </w:rPr>
              <w:t>10.1%</w:t>
            </w:r>
          </w:p>
        </w:tc>
        <w:tc>
          <w:tcPr>
            <w:tcW w:type="dxa" w:w="1234"/>
          </w:tcPr>
          <w:p>
            <w:r>
              <w:rPr>
                <w:rFonts w:ascii="Calibri" w:hAnsi="Calibri"/>
                <w:sz w:val="22"/>
              </w:rPr>
              <w:t>-0.2 pp YoY</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Adj. Operating EPS ($)</w:t>
            </w:r>
          </w:p>
        </w:tc>
        <w:tc>
          <w:tcPr>
            <w:tcW w:type="dxa" w:w="1234"/>
          </w:tcPr>
          <w:p>
            <w:r>
              <w:rPr>
                <w:rFonts w:ascii="Calibri" w:hAnsi="Calibri"/>
                <w:sz w:val="22"/>
              </w:rPr>
              <w:t>$0.24</w:t>
            </w:r>
          </w:p>
        </w:tc>
        <w:tc>
          <w:tcPr>
            <w:tcW w:type="dxa" w:w="1234"/>
          </w:tcPr>
          <w:p>
            <w:r>
              <w:rPr>
                <w:rFonts w:ascii="Calibri" w:hAnsi="Calibri"/>
                <w:sz w:val="22"/>
              </w:rPr>
              <w:t>$0.30</w:t>
            </w:r>
          </w:p>
        </w:tc>
        <w:tc>
          <w:tcPr>
            <w:tcW w:type="dxa" w:w="1234"/>
          </w:tcPr>
          <w:p>
            <w:r>
              <w:rPr>
                <w:rFonts w:ascii="Calibri" w:hAnsi="Calibri"/>
                <w:sz w:val="22"/>
              </w:rPr>
              <w:t>$0.34</w:t>
            </w:r>
          </w:p>
        </w:tc>
        <w:tc>
          <w:tcPr>
            <w:tcW w:type="dxa" w:w="1234"/>
          </w:tcPr>
          <w:p>
            <w:r>
              <w:rPr>
                <w:rFonts w:ascii="Calibri" w:hAnsi="Calibri"/>
                <w:sz w:val="22"/>
              </w:rPr>
              <w:t>+13.3% YoY</w:t>
            </w:r>
          </w:p>
        </w:tc>
        <w:tc>
          <w:tcPr>
            <w:tcW w:type="dxa" w:w="1234"/>
          </w:tcPr>
          <w:p>
            <w:r>
              <w:rPr>
                <w:rFonts w:ascii="Calibri" w:hAnsi="Calibri"/>
                <w:sz w:val="22"/>
              </w:rPr>
              <w:t>N/A (no quarterly EPS guide)</w:t>
            </w:r>
          </w:p>
        </w:tc>
        <w:tc>
          <w:tcPr>
            <w:tcW w:type="dxa" w:w="1234"/>
          </w:tcPr>
          <w:p>
            <w:r>
              <w:rPr>
                <w:rFonts w:ascii="Calibri" w:hAnsi="Calibri"/>
                <w:sz w:val="22"/>
              </w:rPr>
              <w:t>N/A</w:t>
            </w:r>
          </w:p>
        </w:tc>
      </w:tr>
      <w:tr>
        <w:tc>
          <w:tcPr>
            <w:tcW w:type="dxa" w:w="1234"/>
          </w:tcPr>
          <w:p>
            <w:r>
              <w:rPr>
                <w:rFonts w:ascii="Calibri" w:hAnsi="Calibri"/>
                <w:sz w:val="22"/>
              </w:rPr>
              <w:t>Adj. EBITDA ($M)</w:t>
            </w:r>
          </w:p>
        </w:tc>
        <w:tc>
          <w:tcPr>
            <w:tcW w:type="dxa" w:w="1234"/>
          </w:tcPr>
          <w:p>
            <w:r>
              <w:rPr>
                <w:rFonts w:ascii="Calibri" w:hAnsi="Calibri"/>
                <w:sz w:val="22"/>
              </w:rPr>
              <w:t>$179.5M</w:t>
            </w:r>
          </w:p>
        </w:tc>
        <w:tc>
          <w:tcPr>
            <w:tcW w:type="dxa" w:w="1234"/>
          </w:tcPr>
          <w:p>
            <w:r>
              <w:rPr>
                <w:rFonts w:ascii="Calibri" w:hAnsi="Calibri"/>
                <w:sz w:val="22"/>
              </w:rPr>
              <w:t>$231.2M</w:t>
            </w:r>
          </w:p>
        </w:tc>
        <w:tc>
          <w:tcPr>
            <w:tcW w:type="dxa" w:w="1234"/>
          </w:tcPr>
          <w:p>
            <w:r>
              <w:rPr>
                <w:rFonts w:ascii="Calibri" w:hAnsi="Calibri"/>
                <w:sz w:val="22"/>
              </w:rPr>
              <w:t>$255.6M</w:t>
            </w:r>
          </w:p>
        </w:tc>
        <w:tc>
          <w:tcPr>
            <w:tcW w:type="dxa" w:w="1234"/>
          </w:tcPr>
          <w:p>
            <w:r>
              <w:rPr>
                <w:rFonts w:ascii="Calibri" w:hAnsi="Calibri"/>
                <w:sz w:val="22"/>
              </w:rPr>
              <w:t>+10.5% YoY</w:t>
            </w:r>
          </w:p>
        </w:tc>
        <w:tc>
          <w:tcPr>
            <w:tcW w:type="dxa" w:w="1234"/>
          </w:tcPr>
          <w:p>
            <w:r>
              <w:rPr>
                <w:rFonts w:ascii="Calibri" w:hAnsi="Calibri"/>
                <w:sz w:val="22"/>
              </w:rPr>
              <w:t>N/A (no quarterly EBITDA guide)</w:t>
            </w:r>
          </w:p>
        </w:tc>
        <w:tc>
          <w:tcPr>
            <w:tcW w:type="dxa" w:w="1234"/>
          </w:tcPr>
          <w:p>
            <w:r>
              <w:rPr>
                <w:rFonts w:ascii="Calibri" w:hAnsi="Calibri"/>
                <w:sz w:val="22"/>
              </w:rPr>
              <w:t>N/A</w:t>
            </w:r>
          </w:p>
        </w:tc>
      </w:tr>
      <w:tr>
        <w:tc>
          <w:tcPr>
            <w:tcW w:type="dxa" w:w="1234"/>
          </w:tcPr>
          <w:p>
            <w:r>
              <w:rPr>
                <w:rFonts w:ascii="Calibri" w:hAnsi="Calibri"/>
                <w:sz w:val="22"/>
              </w:rPr>
              <w:t>Adj. EBITDA Margin (%)</w:t>
            </w:r>
          </w:p>
        </w:tc>
        <w:tc>
          <w:tcPr>
            <w:tcW w:type="dxa" w:w="1234"/>
          </w:tcPr>
          <w:p>
            <w:r>
              <w:rPr>
                <w:rFonts w:ascii="Calibri" w:hAnsi="Calibri"/>
                <w:sz w:val="22"/>
              </w:rPr>
              <w:t>19.8%</w:t>
            </w:r>
          </w:p>
        </w:tc>
        <w:tc>
          <w:tcPr>
            <w:tcW w:type="dxa" w:w="1234"/>
          </w:tcPr>
          <w:p>
            <w:r>
              <w:rPr>
                <w:rFonts w:ascii="Calibri" w:hAnsi="Calibri"/>
                <w:sz w:val="22"/>
              </w:rPr>
              <w:t>23.1%</w:t>
            </w:r>
          </w:p>
        </w:tc>
        <w:tc>
          <w:tcPr>
            <w:tcW w:type="dxa" w:w="1234"/>
          </w:tcPr>
          <w:p>
            <w:r>
              <w:rPr>
                <w:rFonts w:ascii="Calibri" w:hAnsi="Calibri"/>
                <w:sz w:val="22"/>
              </w:rPr>
              <w:t>23.4%</w:t>
            </w:r>
          </w:p>
        </w:tc>
        <w:tc>
          <w:tcPr>
            <w:tcW w:type="dxa" w:w="1234"/>
          </w:tcPr>
          <w:p>
            <w:r>
              <w:rPr>
                <w:rFonts w:ascii="Calibri" w:hAnsi="Calibri"/>
                <w:sz w:val="22"/>
              </w:rPr>
              <w:t>+0.3 pp YoY</w:t>
            </w:r>
          </w:p>
        </w:tc>
        <w:tc>
          <w:tcPr>
            <w:tcW w:type="dxa" w:w="1234"/>
          </w:tcPr>
          <w:p>
            <w:r>
              <w:rPr>
                <w:rFonts w:ascii="Calibri" w:hAnsi="Calibri"/>
                <w:sz w:val="22"/>
              </w:rPr>
              <w:t>25–30% incremental margins</w:t>
            </w:r>
          </w:p>
        </w:tc>
        <w:tc>
          <w:tcPr>
            <w:tcW w:type="dxa" w:w="1234"/>
          </w:tcPr>
          <w:p>
            <w:r>
              <w:rPr>
                <w:rFonts w:ascii="Calibri" w:hAnsi="Calibri"/>
                <w:sz w:val="22"/>
              </w:rPr>
              <w:t>Tracking toward target</w:t>
            </w:r>
          </w:p>
        </w:tc>
      </w:tr>
      <w:tr>
        <w:tc>
          <w:tcPr>
            <w:tcW w:type="dxa" w:w="1234"/>
          </w:tcPr>
          <w:p>
            <w:r>
              <w:rPr>
                <w:rFonts w:ascii="Calibri" w:hAnsi="Calibri"/>
                <w:sz w:val="22"/>
              </w:rPr>
              <w:t>Gross Margin (%)</w:t>
            </w:r>
          </w:p>
        </w:tc>
        <w:tc>
          <w:tcPr>
            <w:tcW w:type="dxa" w:w="1234"/>
          </w:tcPr>
          <w:p>
            <w:r>
              <w:rPr>
                <w:rFonts w:ascii="Calibri" w:hAnsi="Calibri"/>
                <w:sz w:val="22"/>
              </w:rPr>
              <w:t>50.8%</w:t>
            </w:r>
          </w:p>
        </w:tc>
        <w:tc>
          <w:tcPr>
            <w:tcW w:type="dxa" w:w="1234"/>
          </w:tcPr>
          <w:p>
            <w:r>
              <w:rPr>
                <w:rFonts w:ascii="Calibri" w:hAnsi="Calibri"/>
                <w:sz w:val="22"/>
              </w:rPr>
              <w:t>53.8%</w:t>
            </w:r>
          </w:p>
        </w:tc>
        <w:tc>
          <w:tcPr>
            <w:tcW w:type="dxa" w:w="1234"/>
          </w:tcPr>
          <w:p>
            <w:r>
              <w:rPr>
                <w:rFonts w:ascii="Calibri" w:hAnsi="Calibri"/>
                <w:sz w:val="22"/>
              </w:rPr>
              <w:t>53.9%</w:t>
            </w:r>
          </w:p>
        </w:tc>
        <w:tc>
          <w:tcPr>
            <w:tcW w:type="dxa" w:w="1234"/>
          </w:tcPr>
          <w:p>
            <w:r>
              <w:rPr>
                <w:rFonts w:ascii="Calibri" w:hAnsi="Calibri"/>
                <w:sz w:val="22"/>
              </w:rPr>
              <w:t>+0.1 pp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$111.2M</w:t>
            </w:r>
          </w:p>
        </w:tc>
        <w:tc>
          <w:tcPr>
            <w:tcW w:type="dxa" w:w="1234"/>
          </w:tcPr>
          <w:p>
            <w:r>
              <w:rPr>
                <w:rFonts w:ascii="Calibri" w:hAnsi="Calibri"/>
                <w:sz w:val="22"/>
              </w:rPr>
              <w:t>$168.0M</w:t>
            </w:r>
          </w:p>
        </w:tc>
        <w:tc>
          <w:tcPr>
            <w:tcW w:type="dxa" w:w="1234"/>
          </w:tcPr>
          <w:p>
            <w:r>
              <w:rPr>
                <w:rFonts w:ascii="Calibri" w:hAnsi="Calibri"/>
                <w:sz w:val="22"/>
              </w:rPr>
              <w:t>$224.6M</w:t>
            </w:r>
          </w:p>
        </w:tc>
        <w:tc>
          <w:tcPr>
            <w:tcW w:type="dxa" w:w="1234"/>
          </w:tcPr>
          <w:p>
            <w:r>
              <w:rPr>
                <w:rFonts w:ascii="Calibri" w:hAnsi="Calibri"/>
                <w:sz w:val="22"/>
              </w:rPr>
              <w:t>+33.7% YoY</w:t>
            </w:r>
          </w:p>
        </w:tc>
        <w:tc>
          <w:tcPr>
            <w:tcW w:type="dxa" w:w="1234"/>
          </w:tcPr>
          <w:p>
            <w:r>
              <w:rPr>
                <w:rFonts w:ascii="Calibri" w:hAnsi="Calibri"/>
                <w:sz w:val="22"/>
              </w:rPr>
              <w:t>&gt;100% conversion</w:t>
            </w:r>
          </w:p>
        </w:tc>
        <w:tc>
          <w:tcPr>
            <w:tcW w:type="dxa" w:w="1234"/>
          </w:tcPr>
          <w:p>
            <w:r>
              <w:rPr>
                <w:rFonts w:ascii="Calibri" w:hAnsi="Calibri"/>
                <w:sz w:val="22"/>
              </w:rPr>
              <w:t>Above guidance</w:t>
            </w:r>
          </w:p>
        </w:tc>
      </w:tr>
    </w:tbl>
    <w:p>
      <w:r>
        <w:rPr>
          <w:rFonts w:ascii="Calibri" w:hAnsi="Calibri"/>
          <w:i/>
          <w:color w:val="525866"/>
          <w:sz w:val="22"/>
        </w:rPr>
        <w:t>Source: Visible Alpha Consensus and Actuals Data. All consensus figures as of July 21, 2026. Q1 2026 actuals are last reported. Q2 2025 actuals are prior year period comparisons.</w:t>
      </w:r>
    </w:p>
    <w:p>
      <w:pPr>
        <w:pStyle w:val="Heading3"/>
      </w:pPr>
      <w:r>
        <w:rPr>
          <w:rFonts w:ascii="Calibri" w:hAnsi="Calibri"/>
          <w:b/>
          <w:color w:val="3B4259"/>
          <w:sz w:val="24"/>
        </w:rPr>
        <w:t>Table 2 — Beat/Miss History (Last 8 Quarters, Top 2 KPIs)</w:t>
      </w:r>
    </w:p>
    <w:p>
      <w:r>
        <w:rPr>
          <w:rFonts w:ascii="Calibri" w:hAnsi="Calibri"/>
          <w:b/>
          <w:i/>
          <w:color w:val="525866"/>
          <w:sz w:val="22"/>
        </w:rPr>
        <w:t>KPI 1: Revenue | KPI 2: Adj. Operating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$906.4M</w:t>
            </w:r>
          </w:p>
        </w:tc>
        <w:tc>
          <w:tcPr>
            <w:tcW w:type="dxa" w:w="1440"/>
          </w:tcPr>
          <w:p>
            <w:r>
              <w:rPr>
                <w:rFonts w:ascii="Calibri" w:hAnsi="Calibri"/>
                <w:sz w:val="22"/>
              </w:rPr>
              <w:t>$896.1M</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$0.24</w:t>
            </w:r>
          </w:p>
        </w:tc>
        <w:tc>
          <w:tcPr>
            <w:tcW w:type="dxa" w:w="1440"/>
          </w:tcPr>
          <w:p>
            <w:r>
              <w:rPr>
                <w:rFonts w:ascii="Calibri" w:hAnsi="Calibri"/>
                <w:sz w:val="22"/>
              </w:rPr>
              <w:t>$0.24</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$912.9M</w:t>
            </w:r>
          </w:p>
        </w:tc>
        <w:tc>
          <w:tcPr>
            <w:tcW w:type="dxa" w:w="1440"/>
          </w:tcPr>
          <w:p>
            <w:r>
              <w:rPr>
                <w:rFonts w:ascii="Calibri" w:hAnsi="Calibri"/>
                <w:sz w:val="22"/>
              </w:rPr>
              <w:t>$927.7M</w:t>
            </w:r>
          </w:p>
        </w:tc>
        <w:tc>
          <w:tcPr>
            <w:tcW w:type="dxa" w:w="1440"/>
          </w:tcPr>
          <w:p>
            <w:r>
              <w:rPr>
                <w:rFonts w:ascii="Calibri" w:hAnsi="Calibri"/>
                <w:b/>
                <w:color w:val="E5484D"/>
                <w:sz w:val="22"/>
              </w:rPr>
              <w:t>-1.6%</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$0.25</w:t>
            </w:r>
          </w:p>
        </w:tc>
        <w:tc>
          <w:tcPr>
            <w:tcW w:type="dxa" w:w="1440"/>
          </w:tcPr>
          <w:p>
            <w:r>
              <w:rPr>
                <w:rFonts w:ascii="Calibri" w:hAnsi="Calibri"/>
                <w:sz w:val="22"/>
              </w:rPr>
              <w:t>$0.27</w:t>
            </w:r>
          </w:p>
        </w:tc>
        <w:tc>
          <w:tcPr>
            <w:tcW w:type="dxa" w:w="1440"/>
          </w:tcPr>
          <w:p>
            <w:r>
              <w:rPr>
                <w:rFonts w:ascii="Calibri" w:hAnsi="Calibri"/>
                <w:b/>
                <w:color w:val="E5484D"/>
                <w:sz w:val="22"/>
              </w:rPr>
              <w:t>-7.4%</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$1,026.1M</w:t>
            </w:r>
          </w:p>
        </w:tc>
        <w:tc>
          <w:tcPr>
            <w:tcW w:type="dxa" w:w="1440"/>
          </w:tcPr>
          <w:p>
            <w:r>
              <w:rPr>
                <w:rFonts w:ascii="Calibri" w:hAnsi="Calibri"/>
                <w:sz w:val="22"/>
              </w:rPr>
              <w:t>$1,022.1M</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$0.35</w:t>
            </w:r>
          </w:p>
        </w:tc>
        <w:tc>
          <w:tcPr>
            <w:tcW w:type="dxa" w:w="1440"/>
          </w:tcPr>
          <w:p>
            <w:r>
              <w:rPr>
                <w:rFonts w:ascii="Calibri" w:hAnsi="Calibri"/>
                <w:sz w:val="22"/>
              </w:rPr>
              <w:t>$0.33</w:t>
            </w:r>
          </w:p>
        </w:tc>
        <w:tc>
          <w:tcPr>
            <w:tcW w:type="dxa" w:w="1440"/>
          </w:tcPr>
          <w:p>
            <w:r>
              <w:rPr>
                <w:rFonts w:ascii="Calibri" w:hAnsi="Calibri"/>
                <w:b/>
                <w:color w:val="30A46C"/>
                <w:sz w:val="22"/>
              </w:rPr>
              <w:t>+6.1%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$999.5M</w:t>
            </w:r>
          </w:p>
        </w:tc>
        <w:tc>
          <w:tcPr>
            <w:tcW w:type="dxa" w:w="1440"/>
          </w:tcPr>
          <w:p>
            <w:r>
              <w:rPr>
                <w:rFonts w:ascii="Calibri" w:hAnsi="Calibri"/>
                <w:sz w:val="22"/>
              </w:rPr>
              <w:t>$988.9M</w:t>
            </w:r>
          </w:p>
        </w:tc>
        <w:tc>
          <w:tcPr>
            <w:tcW w:type="dxa" w:w="1440"/>
          </w:tcPr>
          <w:p>
            <w:r>
              <w:rPr>
                <w:rFonts w:ascii="Calibri" w:hAnsi="Calibri"/>
                <w:b/>
                <w:color w:val="30A46C"/>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$0.30</w:t>
            </w:r>
          </w:p>
        </w:tc>
        <w:tc>
          <w:tcPr>
            <w:tcW w:type="dxa" w:w="1440"/>
          </w:tcPr>
          <w:p>
            <w:r>
              <w:rPr>
                <w:rFonts w:ascii="Calibri" w:hAnsi="Calibri"/>
                <w:sz w:val="22"/>
              </w:rPr>
              <w:t>$0.30</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$822.5M</w:t>
            </w:r>
          </w:p>
        </w:tc>
        <w:tc>
          <w:tcPr>
            <w:tcW w:type="dxa" w:w="1440"/>
          </w:tcPr>
          <w:p>
            <w:r>
              <w:rPr>
                <w:rFonts w:ascii="Calibri" w:hAnsi="Calibri"/>
                <w:sz w:val="22"/>
              </w:rPr>
              <w:t>$820.0M</w:t>
            </w:r>
          </w:p>
        </w:tc>
        <w:tc>
          <w:tcPr>
            <w:tcW w:type="dxa" w:w="1440"/>
          </w:tcPr>
          <w:p>
            <w:r>
              <w:rPr>
                <w:rFonts w:ascii="Calibri" w:hAnsi="Calibri"/>
                <w:b/>
                <w:color w:val="30A46C"/>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$0.22</w:t>
            </w:r>
          </w:p>
        </w:tc>
        <w:tc>
          <w:tcPr>
            <w:tcW w:type="dxa" w:w="1440"/>
          </w:tcPr>
          <w:p>
            <w:r>
              <w:rPr>
                <w:rFonts w:ascii="Calibri" w:hAnsi="Calibri"/>
                <w:sz w:val="22"/>
              </w:rPr>
              <w:t>$0.22</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$832.2M</w:t>
            </w:r>
          </w:p>
        </w:tc>
        <w:tc>
          <w:tcPr>
            <w:tcW w:type="dxa" w:w="1440"/>
          </w:tcPr>
          <w:p>
            <w:r>
              <w:rPr>
                <w:rFonts w:ascii="Calibri" w:hAnsi="Calibri"/>
                <w:sz w:val="22"/>
              </w:rPr>
              <w:t>$819.3M</w:t>
            </w:r>
          </w:p>
        </w:tc>
        <w:tc>
          <w:tcPr>
            <w:tcW w:type="dxa" w:w="1440"/>
          </w:tcPr>
          <w:p>
            <w:r>
              <w:rPr>
                <w:rFonts w:ascii="Calibri" w:hAnsi="Calibri"/>
                <w:b/>
                <w:color w:val="30A46C"/>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$0.23</w:t>
            </w:r>
          </w:p>
        </w:tc>
        <w:tc>
          <w:tcPr>
            <w:tcW w:type="dxa" w:w="1440"/>
          </w:tcPr>
          <w:p>
            <w:r>
              <w:rPr>
                <w:rFonts w:ascii="Calibri" w:hAnsi="Calibri"/>
                <w:sz w:val="22"/>
              </w:rPr>
              <w:t>$0.23</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$916.3M</w:t>
            </w:r>
          </w:p>
        </w:tc>
        <w:tc>
          <w:tcPr>
            <w:tcW w:type="dxa" w:w="1440"/>
          </w:tcPr>
          <w:p>
            <w:r>
              <w:rPr>
                <w:rFonts w:ascii="Calibri" w:hAnsi="Calibri"/>
                <w:sz w:val="22"/>
              </w:rPr>
              <w:t>$912.0M</w:t>
            </w:r>
          </w:p>
        </w:tc>
        <w:tc>
          <w:tcPr>
            <w:tcW w:type="dxa" w:w="1440"/>
          </w:tcPr>
          <w:p>
            <w:r>
              <w:rPr>
                <w:rFonts w:ascii="Calibri" w:hAnsi="Calibri"/>
                <w:b/>
                <w:color w:val="30A46C"/>
                <w:sz w:val="22"/>
              </w:rPr>
              <w:t>+0.5%</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$0.29</w:t>
            </w:r>
          </w:p>
        </w:tc>
        <w:tc>
          <w:tcPr>
            <w:tcW w:type="dxa" w:w="1440"/>
          </w:tcPr>
          <w:p>
            <w:r>
              <w:rPr>
                <w:rFonts w:ascii="Calibri" w:hAnsi="Calibri"/>
                <w:sz w:val="22"/>
              </w:rPr>
              <w:t>$0.30</w:t>
            </w:r>
          </w:p>
        </w:tc>
        <w:tc>
          <w:tcPr>
            <w:tcW w:type="dxa" w:w="1440"/>
          </w:tcPr>
          <w:p>
            <w:r>
              <w:rPr>
                <w:rFonts w:ascii="Calibri" w:hAnsi="Calibri"/>
                <w:b/>
                <w:color w:val="E5484D"/>
                <w:sz w:val="22"/>
              </w:rPr>
              <w:t>-3.3%</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Revenue</w:t>
            </w:r>
          </w:p>
        </w:tc>
        <w:tc>
          <w:tcPr>
            <w:tcW w:type="dxa" w:w="1440"/>
          </w:tcPr>
          <w:p>
            <w:r>
              <w:rPr>
                <w:rFonts w:ascii="Calibri" w:hAnsi="Calibri"/>
                <w:sz w:val="22"/>
              </w:rPr>
              <w:t>$891.9M</w:t>
            </w:r>
          </w:p>
        </w:tc>
        <w:tc>
          <w:tcPr>
            <w:tcW w:type="dxa" w:w="1440"/>
          </w:tcPr>
          <w:p>
            <w:r>
              <w:rPr>
                <w:rFonts w:ascii="Calibri" w:hAnsi="Calibri"/>
                <w:sz w:val="22"/>
              </w:rPr>
              <w:t>$897.4M</w:t>
            </w:r>
          </w:p>
        </w:tc>
        <w:tc>
          <w:tcPr>
            <w:tcW w:type="dxa" w:w="1440"/>
          </w:tcPr>
          <w:p>
            <w:r>
              <w:rPr>
                <w:rFonts w:ascii="Calibri" w:hAnsi="Calibri"/>
                <w:b/>
                <w:color w:val="E5484D"/>
                <w:sz w:val="22"/>
              </w:rPr>
              <w:t>-0.6%</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$0.27</w:t>
            </w:r>
          </w:p>
        </w:tc>
        <w:tc>
          <w:tcPr>
            <w:tcW w:type="dxa" w:w="1440"/>
          </w:tcPr>
          <w:p>
            <w:r>
              <w:rPr>
                <w:rFonts w:ascii="Calibri" w:hAnsi="Calibri"/>
                <w:sz w:val="22"/>
              </w:rPr>
              <w:t>$0.27</w:t>
            </w:r>
          </w:p>
        </w:tc>
        <w:tc>
          <w:tcPr>
            <w:tcW w:type="dxa" w:w="1440"/>
          </w:tcPr>
          <w:p>
            <w:r>
              <w:rPr>
                <w:rFonts w:ascii="Calibri" w:hAnsi="Calibri"/>
                <w:sz w:val="22"/>
              </w:rPr>
              <w:t>0.0%</w:t>
            </w:r>
          </w:p>
        </w:tc>
        <w:tc>
          <w:tcPr>
            <w:tcW w:type="dxa" w:w="1440"/>
          </w:tcPr>
          <w:p>
            <w:r>
              <w:rPr>
                <w:rFonts w:ascii="Calibri" w:hAnsi="Calibri"/>
                <w:sz w:val="22"/>
              </w:rPr>
              <w:t>In Line</w:t>
            </w:r>
          </w:p>
        </w:tc>
      </w:tr>
    </w:tbl>
    <w:p>
      <w:r>
        <w:rPr>
          <w:rFonts w:ascii="Calibri" w:hAnsi="Calibri"/>
          <w:b/>
          <w:color w:val="525866"/>
          <w:sz w:val="22"/>
        </w:rPr>
        <w:t xml:space="preserve">Pattern: </w:t>
      </w:r>
      <w:r>
        <w:rPr>
          <w:rFonts w:ascii="Calibri" w:hAnsi="Calibri"/>
          <w:color w:val="525866"/>
          <w:sz w:val="22"/>
        </w:rPr>
        <w:t>ROL consistently beats or meets on revenue (6 beats, 1 miss, 1 in-line over 8 quarters) but EPS surprises are rare — the stock tends to trade on organic growth trajectory and incremental margin rather than headline EPS beats. The Q4 2025 double-miss was the notable outlier that reset expectations and drove the stock lower.</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w:t>
      </w:r>
      <w:r>
        <w:rPr>
          <w:rFonts w:ascii="Calibri" w:hAnsi="Calibri"/>
          <w:b/>
          <w:color w:val="525866"/>
          <w:sz w:val="22"/>
        </w:rPr>
        <w:t>modestly trimmed</w:t>
      </w:r>
      <w:r>
        <w:rPr>
          <w:rFonts w:ascii="Calibri" w:hAnsi="Calibri"/>
          <w:color w:val="525866"/>
          <w:sz w:val="22"/>
        </w:rPr>
        <w:t xml:space="preserve"> since Q1 earnings — Q2 organic growth consensus slipped ~10 bps and FY2026 revenue is essentially flat — suggesting the street has partially de-risked but not aggressively cut. The gap between consensus and guidance is narrow, meaning any miss on organic growth would require further downward revision.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27,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Revenue — Q2 2026</w:t>
            </w:r>
          </w:p>
        </w:tc>
        <w:tc>
          <w:tcPr>
            <w:tcW w:type="dxa" w:w="1080"/>
          </w:tcPr>
          <w:p>
            <w:r>
              <w:rPr>
                <w:rFonts w:ascii="Calibri" w:hAnsi="Calibri"/>
                <w:sz w:val="22"/>
              </w:rPr>
              <w:t>$1,093.7M</w:t>
            </w:r>
          </w:p>
        </w:tc>
        <w:tc>
          <w:tcPr>
            <w:tcW w:type="dxa" w:w="1080"/>
          </w:tcPr>
          <w:p>
            <w:r>
              <w:rPr>
                <w:rFonts w:ascii="Calibri" w:hAnsi="Calibri"/>
                <w:sz w:val="22"/>
              </w:rPr>
              <w:t>$1,092.7M</w:t>
            </w:r>
          </w:p>
        </w:tc>
        <w:tc>
          <w:tcPr>
            <w:tcW w:type="dxa" w:w="1080"/>
          </w:tcPr>
          <w:p>
            <w:r>
              <w:rPr>
                <w:rFonts w:ascii="Calibri" w:hAnsi="Calibri"/>
                <w:sz w:val="22"/>
              </w:rPr>
              <w:t>-0.1%</w:t>
            </w:r>
          </w:p>
        </w:tc>
        <w:tc>
          <w:tcPr>
            <w:tcW w:type="dxa" w:w="1080"/>
          </w:tcPr>
          <w:p>
            <w:r>
              <w:rPr>
                <w:rFonts w:ascii="Calibri" w:hAnsi="Calibri"/>
                <w:sz w:val="22"/>
              </w:rPr>
              <w:t>7–8% organic + 2–3% M&amp;A</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organic range</w:t>
            </w:r>
          </w:p>
        </w:tc>
      </w:tr>
      <w:tr>
        <w:tc>
          <w:tcPr>
            <w:tcW w:type="dxa" w:w="1080"/>
          </w:tcPr>
          <w:p>
            <w:r>
              <w:rPr>
                <w:rFonts w:ascii="Calibri" w:hAnsi="Calibri"/>
                <w:sz w:val="22"/>
              </w:rPr>
              <w:t>Revenue — FY 2026</w:t>
            </w:r>
          </w:p>
        </w:tc>
        <w:tc>
          <w:tcPr>
            <w:tcW w:type="dxa" w:w="1080"/>
          </w:tcPr>
          <w:p>
            <w:r>
              <w:rPr>
                <w:rFonts w:ascii="Calibri" w:hAnsi="Calibri"/>
                <w:sz w:val="22"/>
              </w:rPr>
              <w:t>$4,124.5M</w:t>
            </w:r>
          </w:p>
        </w:tc>
        <w:tc>
          <w:tcPr>
            <w:tcW w:type="dxa" w:w="1080"/>
          </w:tcPr>
          <w:p>
            <w:r>
              <w:rPr>
                <w:rFonts w:ascii="Calibri" w:hAnsi="Calibri"/>
                <w:sz w:val="22"/>
              </w:rPr>
              <w:t>$4,123.3M</w:t>
            </w:r>
          </w:p>
        </w:tc>
        <w:tc>
          <w:tcPr>
            <w:tcW w:type="dxa" w:w="1080"/>
          </w:tcPr>
          <w:p>
            <w:r>
              <w:rPr>
                <w:rFonts w:ascii="Calibri" w:hAnsi="Calibri"/>
                <w:sz w:val="22"/>
              </w:rPr>
              <w:t>-0.0%</w:t>
            </w:r>
          </w:p>
        </w:tc>
        <w:tc>
          <w:tcPr>
            <w:tcW w:type="dxa" w:w="1080"/>
          </w:tcPr>
          <w:p>
            <w:r>
              <w:rPr>
                <w:rFonts w:ascii="Calibri" w:hAnsi="Calibri"/>
                <w:sz w:val="22"/>
              </w:rPr>
              <w:t>7–8% organic + 2–3% M&amp;A</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Within range</w:t>
            </w:r>
          </w:p>
        </w:tc>
      </w:tr>
      <w:tr>
        <w:tc>
          <w:tcPr>
            <w:tcW w:type="dxa" w:w="1080"/>
          </w:tcPr>
          <w:p>
            <w:r>
              <w:rPr>
                <w:rFonts w:ascii="Calibri" w:hAnsi="Calibri"/>
                <w:sz w:val="22"/>
              </w:rPr>
              <w:t>Organic Growth % — Q2 2026</w:t>
            </w:r>
          </w:p>
        </w:tc>
        <w:tc>
          <w:tcPr>
            <w:tcW w:type="dxa" w:w="1080"/>
          </w:tcPr>
          <w:p>
            <w:r>
              <w:rPr>
                <w:rFonts w:ascii="Calibri" w:hAnsi="Calibri"/>
                <w:sz w:val="22"/>
              </w:rPr>
              <w:t>7.12%</w:t>
            </w:r>
          </w:p>
        </w:tc>
        <w:tc>
          <w:tcPr>
            <w:tcW w:type="dxa" w:w="1080"/>
          </w:tcPr>
          <w:p>
            <w:r>
              <w:rPr>
                <w:rFonts w:ascii="Calibri" w:hAnsi="Calibri"/>
                <w:sz w:val="22"/>
              </w:rPr>
              <w:t>7.02%</w:t>
            </w:r>
          </w:p>
        </w:tc>
        <w:tc>
          <w:tcPr>
            <w:tcW w:type="dxa" w:w="1080"/>
          </w:tcPr>
          <w:p>
            <w:r>
              <w:rPr>
                <w:rFonts w:ascii="Calibri" w:hAnsi="Calibri"/>
                <w:sz w:val="22"/>
              </w:rPr>
              <w:t>-10 bps</w:t>
            </w:r>
          </w:p>
        </w:tc>
        <w:tc>
          <w:tcPr>
            <w:tcW w:type="dxa" w:w="1080"/>
          </w:tcPr>
          <w:p>
            <w:r>
              <w:rPr>
                <w:rFonts w:ascii="Calibri" w:hAnsi="Calibri"/>
                <w:sz w:val="22"/>
              </w:rPr>
              <w:t>7–8% full year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range</w:t>
            </w:r>
          </w:p>
        </w:tc>
      </w:tr>
      <w:tr>
        <w:tc>
          <w:tcPr>
            <w:tcW w:type="dxa" w:w="1080"/>
          </w:tcPr>
          <w:p>
            <w:r>
              <w:rPr>
                <w:rFonts w:ascii="Calibri" w:hAnsi="Calibri"/>
                <w:sz w:val="22"/>
              </w:rPr>
              <w:t>Organic Growth % — FY 2026</w:t>
            </w:r>
          </w:p>
        </w:tc>
        <w:tc>
          <w:tcPr>
            <w:tcW w:type="dxa" w:w="1080"/>
          </w:tcPr>
          <w:p>
            <w:r>
              <w:rPr>
                <w:rFonts w:ascii="Calibri" w:hAnsi="Calibri"/>
                <w:sz w:val="22"/>
              </w:rPr>
              <w:t>7.15%</w:t>
            </w:r>
          </w:p>
        </w:tc>
        <w:tc>
          <w:tcPr>
            <w:tcW w:type="dxa" w:w="1080"/>
          </w:tcPr>
          <w:p>
            <w:r>
              <w:rPr>
                <w:rFonts w:ascii="Calibri" w:hAnsi="Calibri"/>
                <w:sz w:val="22"/>
              </w:rPr>
              <w:t>7.16%</w:t>
            </w:r>
          </w:p>
        </w:tc>
        <w:tc>
          <w:tcPr>
            <w:tcW w:type="dxa" w:w="1080"/>
          </w:tcPr>
          <w:p>
            <w:r>
              <w:rPr>
                <w:rFonts w:ascii="Calibri" w:hAnsi="Calibri"/>
                <w:sz w:val="22"/>
              </w:rPr>
              <w:t>+1 bp</w:t>
            </w:r>
          </w:p>
        </w:tc>
        <w:tc>
          <w:tcPr>
            <w:tcW w:type="dxa" w:w="1080"/>
          </w:tcPr>
          <w:p>
            <w:r>
              <w:rPr>
                <w:rFonts w:ascii="Calibri" w:hAnsi="Calibri"/>
                <w:sz w:val="22"/>
              </w:rPr>
              <w:t>7–8% full year</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low end of range</w:t>
            </w:r>
          </w:p>
        </w:tc>
      </w:tr>
      <w:tr>
        <w:tc>
          <w:tcPr>
            <w:tcW w:type="dxa" w:w="1080"/>
          </w:tcPr>
          <w:p>
            <w:r>
              <w:rPr>
                <w:rFonts w:ascii="Calibri" w:hAnsi="Calibri"/>
                <w:sz w:val="22"/>
              </w:rPr>
              <w:t>Adj. EPS — Q2 2026</w:t>
            </w:r>
          </w:p>
        </w:tc>
        <w:tc>
          <w:tcPr>
            <w:tcW w:type="dxa" w:w="1080"/>
          </w:tcPr>
          <w:p>
            <w:r>
              <w:rPr>
                <w:rFonts w:ascii="Calibri" w:hAnsi="Calibri"/>
                <w:sz w:val="22"/>
              </w:rPr>
              <w:t>$0.340</w:t>
            </w:r>
          </w:p>
        </w:tc>
        <w:tc>
          <w:tcPr>
            <w:tcW w:type="dxa" w:w="1080"/>
          </w:tcPr>
          <w:p>
            <w:r>
              <w:rPr>
                <w:rFonts w:ascii="Calibri" w:hAnsi="Calibri"/>
                <w:sz w:val="22"/>
              </w:rPr>
              <w:t>$0.339</w:t>
            </w:r>
          </w:p>
        </w:tc>
        <w:tc>
          <w:tcPr>
            <w:tcW w:type="dxa" w:w="1080"/>
          </w:tcPr>
          <w:p>
            <w:r>
              <w:rPr>
                <w:rFonts w:ascii="Calibri" w:hAnsi="Calibri"/>
                <w:sz w:val="22"/>
              </w:rPr>
              <w:t>-0.3%</w:t>
            </w:r>
          </w:p>
        </w:tc>
        <w:tc>
          <w:tcPr>
            <w:tcW w:type="dxa" w:w="1080"/>
          </w:tcPr>
          <w:p>
            <w:r>
              <w:rPr>
                <w:rFonts w:ascii="Calibri" w:hAnsi="Calibri"/>
                <w:sz w:val="22"/>
              </w:rPr>
              <w:t>N/A (no quarterly EPS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$1.243</w:t>
            </w:r>
          </w:p>
        </w:tc>
        <w:tc>
          <w:tcPr>
            <w:tcW w:type="dxa" w:w="1080"/>
          </w:tcPr>
          <w:p>
            <w:r>
              <w:rPr>
                <w:rFonts w:ascii="Calibri" w:hAnsi="Calibri"/>
                <w:sz w:val="22"/>
              </w:rPr>
              <w:t>$1.243</w:t>
            </w:r>
          </w:p>
        </w:tc>
        <w:tc>
          <w:tcPr>
            <w:tcW w:type="dxa" w:w="1080"/>
          </w:tcPr>
          <w:p>
            <w:r>
              <w:rPr>
                <w:rFonts w:ascii="Calibri" w:hAnsi="Calibri"/>
                <w:sz w:val="22"/>
              </w:rPr>
              <w:t>0.0%</w:t>
            </w:r>
          </w:p>
        </w:tc>
        <w:tc>
          <w:tcPr>
            <w:tcW w:type="dxa" w:w="1080"/>
          </w:tcPr>
          <w:p>
            <w:r>
              <w:rPr>
                <w:rFonts w:ascii="Calibri" w:hAnsi="Calibri"/>
                <w:sz w:val="22"/>
              </w:rPr>
              <w:t>N/A (no annual EPS guide)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Q2 2026</w:t>
            </w:r>
          </w:p>
        </w:tc>
        <w:tc>
          <w:tcPr>
            <w:tcW w:type="dxa" w:w="1080"/>
          </w:tcPr>
          <w:p>
            <w:r>
              <w:rPr>
                <w:rFonts w:ascii="Calibri" w:hAnsi="Calibri"/>
                <w:sz w:val="22"/>
              </w:rPr>
              <w:t>$256.9M</w:t>
            </w:r>
          </w:p>
        </w:tc>
        <w:tc>
          <w:tcPr>
            <w:tcW w:type="dxa" w:w="1080"/>
          </w:tcPr>
          <w:p>
            <w:r>
              <w:rPr>
                <w:rFonts w:ascii="Calibri" w:hAnsi="Calibri"/>
                <w:sz w:val="22"/>
              </w:rPr>
              <w:t>$255.6M</w:t>
            </w:r>
          </w:p>
        </w:tc>
        <w:tc>
          <w:tcPr>
            <w:tcW w:type="dxa" w:w="1080"/>
          </w:tcPr>
          <w:p>
            <w:r>
              <w:rPr>
                <w:rFonts w:ascii="Calibri" w:hAnsi="Calibri"/>
                <w:sz w:val="22"/>
              </w:rPr>
              <w:t>-0.5%</w:t>
            </w:r>
          </w:p>
        </w:tc>
        <w:tc>
          <w:tcPr>
            <w:tcW w:type="dxa" w:w="1080"/>
          </w:tcPr>
          <w:p>
            <w:r>
              <w:rPr>
                <w:rFonts w:ascii="Calibri" w:hAnsi="Calibri"/>
                <w:sz w:val="22"/>
              </w:rPr>
              <w:t>25–30% incremental margins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toward target</w:t>
            </w:r>
          </w:p>
        </w:tc>
      </w:tr>
      <w:tr>
        <w:tc>
          <w:tcPr>
            <w:tcW w:type="dxa" w:w="1080"/>
          </w:tcPr>
          <w:p>
            <w:r>
              <w:rPr>
                <w:rFonts w:ascii="Calibri" w:hAnsi="Calibri"/>
                <w:sz w:val="22"/>
              </w:rPr>
              <w:t>Adj. EBITDA — FY 2026</w:t>
            </w:r>
          </w:p>
        </w:tc>
        <w:tc>
          <w:tcPr>
            <w:tcW w:type="dxa" w:w="1080"/>
          </w:tcPr>
          <w:p>
            <w:r>
              <w:rPr>
                <w:rFonts w:ascii="Calibri" w:hAnsi="Calibri"/>
                <w:sz w:val="22"/>
              </w:rPr>
              <w:t>$941.9M</w:t>
            </w:r>
          </w:p>
        </w:tc>
        <w:tc>
          <w:tcPr>
            <w:tcW w:type="dxa" w:w="1080"/>
          </w:tcPr>
          <w:p>
            <w:r>
              <w:rPr>
                <w:rFonts w:ascii="Calibri" w:hAnsi="Calibri"/>
                <w:sz w:val="22"/>
              </w:rPr>
              <w:t>$939.9M</w:t>
            </w:r>
          </w:p>
        </w:tc>
        <w:tc>
          <w:tcPr>
            <w:tcW w:type="dxa" w:w="1080"/>
          </w:tcPr>
          <w:p>
            <w:r>
              <w:rPr>
                <w:rFonts w:ascii="Calibri" w:hAnsi="Calibri"/>
                <w:sz w:val="22"/>
              </w:rPr>
              <w:t>-0.2%</w:t>
            </w:r>
          </w:p>
        </w:tc>
        <w:tc>
          <w:tcPr>
            <w:tcW w:type="dxa" w:w="1080"/>
          </w:tcPr>
          <w:p>
            <w:r>
              <w:rPr>
                <w:rFonts w:ascii="Calibri" w:hAnsi="Calibri"/>
                <w:sz w:val="22"/>
              </w:rPr>
              <w:t>25–30% incremental margins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toward target</w:t>
            </w:r>
          </w:p>
        </w:tc>
      </w:tr>
    </w:tbl>
    <w:p>
      <w:r>
        <w:rPr>
          <w:rFonts w:ascii="Calibri" w:hAnsi="Calibri"/>
          <w:i/>
          <w:color w:val="525866"/>
          <w:sz w:val="22"/>
        </w:rPr>
        <w:t>Estimates have been remarkably stable since Q1 earnings — the street has not aggressively cut despite management's acknowledgment of April–May choppiness. This creates a two-sided risk: if peak-season volumes disappoint, there is meaningful downside to current consensus; if June/July accelerate as management expects, estimates could move higher and the stock could re-rate from deeply depressed levels.</w:t>
      </w:r>
    </w:p>
    <w:p>
      <w:r>
        <w:rPr>
          <w:rFonts w:ascii="Calibri" w:hAnsi="Calibri"/>
          <w:i/>
          <w:color w:val="525866"/>
          <w:sz w:val="22"/>
        </w:rPr>
        <w:t>Source: Visible Alpha Consensus and Actuals Data. As-of date for baseline: April 27, 2026 (5 trading days post Q1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ROL has dramatically underperformed since Q1 earnings — down ~20% vs. XLI +4.5% and SPY +5.2% — driven almost entirely by </w:t>
      </w:r>
      <w:r>
        <w:rPr>
          <w:rFonts w:ascii="Calibri" w:hAnsi="Calibri"/>
          <w:b/>
          <w:color w:val="525866"/>
          <w:sz w:val="22"/>
        </w:rPr>
        <w:t>multiple compression and sentiment deterioration</w:t>
      </w:r>
      <w:r>
        <w:rPr>
          <w:rFonts w:ascii="Calibri" w:hAnsi="Calibri"/>
          <w:color w:val="525866"/>
          <w:sz w:val="22"/>
        </w:rPr>
        <w:t xml:space="preserve"> following the CFO departure and Bernstein downgrade, not by estimate cuts. At ~$44, the stock trades near 52-week lows and implies the market is pricing in meaningful execution risk on the margin improvement thesis.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ROL vs. XLI (Industrials ETF) vs. S&amp;P 500 — Indexed to 100 at Q1 2026 Earnings (Apr 22, 2026). Source: Yahoo Finance / Stock Price Data.</w:t>
      </w:r>
    </w:p>
    <w:p>
      <w:pPr>
        <w:pStyle w:val="ListBullet"/>
        <w:ind w:left="360" w:hanging="360"/>
      </w:pPr>
      <w:r>
        <w:rPr>
          <w:rFonts w:ascii="Calibri" w:hAnsi="Calibri"/>
          <w:b/>
          <w:color w:val="525866"/>
          <w:sz w:val="22"/>
        </w:rPr>
        <w:t xml:space="preserve">Apr 22–23, 2026: </w:t>
      </w:r>
      <w:r>
        <w:rPr>
          <w:rFonts w:ascii="Calibri" w:hAnsi="Calibri"/>
          <w:color w:val="525866"/>
          <w:sz w:val="22"/>
        </w:rPr>
        <w:t>Q1 2026 earnings — revenue beat, EPS in-line. Stock rose ~+4.2% over two days on strong March exit rate (&gt;8% organic). Base = 100.</w:t>
      </w:r>
    </w:p>
    <w:p>
      <w:pPr>
        <w:pStyle w:val="ListBullet"/>
        <w:ind w:left="360" w:hanging="360"/>
      </w:pPr>
      <w:r>
        <w:rPr>
          <w:rFonts w:ascii="Calibri" w:hAnsi="Calibri"/>
          <w:b/>
          <w:color w:val="525866"/>
          <w:sz w:val="22"/>
        </w:rPr>
        <w:t xml:space="preserve">May 14, 2026: </w:t>
      </w:r>
      <w:r>
        <w:rPr>
          <w:rFonts w:ascii="Calibri" w:hAnsi="Calibri"/>
          <w:color w:val="525866"/>
          <w:sz w:val="22"/>
        </w:rPr>
        <w:t>Investor Day at NYSE. Management reaffirmed 7–8% organic growth and 30–35% medium-term incremental margin targets. Stock ~97 (indexed), modestly below post-earnings peak.</w:t>
      </w:r>
    </w:p>
    <w:p>
      <w:pPr>
        <w:pStyle w:val="ListBullet"/>
        <w:ind w:left="360" w:hanging="360"/>
      </w:pPr>
      <w:r>
        <w:rPr>
          <w:rFonts w:ascii="Calibri" w:hAnsi="Calibri"/>
          <w:b/>
          <w:color w:val="525866"/>
          <w:sz w:val="22"/>
        </w:rPr>
        <w:t xml:space="preserve">May 27–29, 2026: </w:t>
      </w:r>
      <w:r>
        <w:rPr>
          <w:rFonts w:ascii="Calibri" w:hAnsi="Calibri"/>
          <w:color w:val="525866"/>
          <w:sz w:val="22"/>
        </w:rPr>
        <w:t>CFO Ken Krause resignation announced (effective June 15). Bernstein downgraded to Market Perform, cut PT from $70 to $52. Stock fell sharply from ~97 to ~87 (indexed) over the week.</w:t>
      </w:r>
    </w:p>
    <w:p>
      <w:pPr>
        <w:pStyle w:val="ListBullet"/>
        <w:ind w:left="360" w:hanging="360"/>
      </w:pPr>
      <w:r>
        <w:rPr>
          <w:rFonts w:ascii="Calibri" w:hAnsi="Calibri"/>
          <w:b/>
          <w:color w:val="525866"/>
          <w:sz w:val="22"/>
        </w:rPr>
        <w:t xml:space="preserve">June 1–30, 2026: </w:t>
      </w:r>
      <w:r>
        <w:rPr>
          <w:rFonts w:ascii="Calibri" w:hAnsi="Calibri"/>
          <w:color w:val="525866"/>
          <w:sz w:val="22"/>
        </w:rPr>
        <w:t>Continued de-rating as market digested CFO transition risk and April–May choppiness commentary from Baird/William Blair conferences. Stock reached trough of ~75.5 (indexed) on June 30, implying ~$41.74.</w:t>
      </w:r>
    </w:p>
    <w:p>
      <w:pPr>
        <w:pStyle w:val="ListBullet"/>
        <w:ind w:left="360" w:hanging="360"/>
      </w:pPr>
      <w:r>
        <w:rPr>
          <w:rFonts w:ascii="Calibri" w:hAnsi="Calibri"/>
          <w:b/>
          <w:color w:val="525866"/>
          <w:sz w:val="22"/>
        </w:rPr>
        <w:t xml:space="preserve">July 8, 2026: </w:t>
      </w:r>
      <w:r>
        <w:rPr>
          <w:rFonts w:ascii="Calibri" w:hAnsi="Calibri"/>
          <w:color w:val="525866"/>
          <w:sz w:val="22"/>
        </w:rPr>
        <w:t>ROL announced Q2 2026 earnings date (July 23). Stock stabilized in the $43–$45 range. As of July 21, ROL indexed at ~79.3 vs. XLI at 104.5 and SPY at 105.2.</w:t>
      </w:r>
    </w:p>
    <w:p>
      <w:r>
        <w:rPr>
          <w:rFonts w:ascii="Calibri" w:hAnsi="Calibri"/>
          <w:b/>
          <w:color w:val="525866"/>
          <w:sz w:val="22"/>
        </w:rPr>
        <w:t xml:space="preserve">Sector ETF: </w:t>
      </w:r>
      <w:r>
        <w:rPr>
          <w:rFonts w:ascii="Calibri" w:hAnsi="Calibri"/>
          <w:color w:val="525866"/>
          <w:sz w:val="22"/>
        </w:rPr>
        <w:t>XLI (Industrials Select Sector SPDR ETF) used as the sector benchmark. ROL is classified in the Commercial &amp; Professional Services sub-sector within Industrials. XLI is the most widely used benchmark for this sector.</w:t>
      </w:r>
    </w:p>
    <w:p>
      <w:r>
        <w:rPr>
          <w:rFonts w:ascii="Calibri" w:hAnsi="Calibri"/>
          <w:i/>
          <w:color w:val="525866"/>
          <w:sz w:val="22"/>
        </w:rPr>
        <w:t>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w:t>
      </w:r>
      <w:r>
        <w:rPr>
          <w:rFonts w:ascii="Calibri" w:hAnsi="Calibri"/>
          <w:b/>
          <w:color w:val="525866"/>
          <w:sz w:val="22"/>
        </w:rPr>
        <w:t>CFO departure</w:t>
      </w:r>
      <w:r>
        <w:rPr>
          <w:rFonts w:ascii="Calibri" w:hAnsi="Calibri"/>
          <w:color w:val="525866"/>
          <w:sz w:val="22"/>
        </w:rPr>
        <w:t xml:space="preserve"> is the single most important development since Q1 earnings — it triggered a Bernstein downgrade and drove the stock to 52-week lows, creating an overhang that will only clear if Q2 results demonstrate the margin improvement thesis is intact under new leadership.</w:t>
      </w:r>
    </w:p>
    <w:p>
      <w:pPr>
        <w:pStyle w:val="ListBullet"/>
        <w:ind w:left="360" w:hanging="360"/>
      </w:pPr>
      <w:r>
        <w:rPr>
          <w:rFonts w:ascii="Calibri" w:hAnsi="Calibri"/>
          <w:b/>
          <w:color w:val="525866"/>
          <w:sz w:val="22"/>
        </w:rPr>
        <w:t>May 27, 2026 — CFO Ken Krause Resignation Announced.</w:t>
      </w:r>
      <w:r>
        <w:rPr>
          <w:rFonts w:ascii="Calibri" w:hAnsi="Calibri"/>
          <w:color w:val="525866"/>
          <w:sz w:val="22"/>
        </w:rPr>
        <w:t xml:space="preserve"> Krause announced departure effective June 15, 2026 to join an AI data center IPO. Will Harkins (Chief Accounting Officer, joined March 2025) named incoming CFO. </w:t>
      </w:r>
      <w:r>
        <w:rPr>
          <w:rFonts w:ascii="Calibri" w:hAnsi="Calibri"/>
          <w:b/>
          <w:color w:val="525866"/>
          <w:sz w:val="22"/>
        </w:rPr>
        <w:t xml:space="preserve">Implication: </w:t>
      </w:r>
      <w:r>
        <w:rPr>
          <w:rFonts w:ascii="Calibri" w:hAnsi="Calibri"/>
          <w:color w:val="525866"/>
          <w:sz w:val="22"/>
        </w:rPr>
        <w:t>Krause was widely viewed as the architect of the margin improvement story. Market reaction was swift and severe — stock fell ~10% in the days following. Harkins advisory period extends through September 30, 2026, providing an extended handover.</w:t>
      </w:r>
    </w:p>
    <w:p>
      <w:pPr>
        <w:pStyle w:val="ListBullet"/>
        <w:ind w:left="360" w:hanging="360"/>
      </w:pPr>
      <w:r>
        <w:rPr>
          <w:rFonts w:ascii="Calibri" w:hAnsi="Calibri"/>
          <w:b/>
          <w:color w:val="525866"/>
          <w:sz w:val="22"/>
        </w:rPr>
        <w:t>May 29, 2026 — Bernstein Downgrade to Market Perform.</w:t>
      </w:r>
      <w:r>
        <w:rPr>
          <w:rFonts w:ascii="Calibri" w:hAnsi="Calibri"/>
          <w:color w:val="525866"/>
          <w:sz w:val="22"/>
        </w:rPr>
        <w:t xml:space="preserve"> Bernstein (Connor Cerniglia) cut rating from Outperform to Market Perform and slashed PT from $70 to $52, citing CFO departure and execution risk on margin targets. </w:t>
      </w:r>
      <w:r>
        <w:rPr>
          <w:rFonts w:ascii="Calibri" w:hAnsi="Calibri"/>
          <w:b/>
          <w:color w:val="525866"/>
          <w:sz w:val="22"/>
        </w:rPr>
        <w:t xml:space="preserve">Implication: </w:t>
      </w:r>
      <w:r>
        <w:rPr>
          <w:rFonts w:ascii="Calibri" w:hAnsi="Calibri"/>
          <w:color w:val="525866"/>
          <w:sz w:val="22"/>
        </w:rPr>
        <w:t>Bernstein had been one of the most bullish voices on the margin transformation story. The downgrade validated market concerns and accelerated the de-rating.</w:t>
      </w:r>
    </w:p>
    <w:p>
      <w:pPr>
        <w:pStyle w:val="ListBullet"/>
        <w:ind w:left="360" w:hanging="360"/>
      </w:pPr>
      <w:r>
        <w:rPr>
          <w:rFonts w:ascii="Calibri" w:hAnsi="Calibri"/>
          <w:b/>
          <w:color w:val="525866"/>
          <w:sz w:val="22"/>
        </w:rPr>
        <w:t>April 2026 — Romex Pest Control Acquisition Completed.</w:t>
      </w:r>
      <w:r>
        <w:rPr>
          <w:rFonts w:ascii="Calibri" w:hAnsi="Calibri"/>
          <w:color w:val="525866"/>
          <w:sz w:val="22"/>
        </w:rPr>
        <w:t xml:space="preserve"> Romex (a top-40 pest management company per industry rankings) was acquired, adding new market entry points and expanding the brand portfolio. </w:t>
      </w:r>
      <w:r>
        <w:rPr>
          <w:rFonts w:ascii="Calibri" w:hAnsi="Calibri"/>
          <w:b/>
          <w:color w:val="525866"/>
          <w:sz w:val="22"/>
        </w:rPr>
        <w:t xml:space="preserve">Implication: </w:t>
      </w:r>
      <w:r>
        <w:rPr>
          <w:rFonts w:ascii="Calibri" w:hAnsi="Calibri"/>
          <w:color w:val="525866"/>
          <w:sz w:val="22"/>
        </w:rPr>
        <w:t>Adds incremental M&amp;A revenue contribution in Q2 2026 and beyond; consistent with 2–3% M&amp;A growth guidance.</w:t>
      </w:r>
    </w:p>
    <w:p>
      <w:pPr>
        <w:pStyle w:val="ListBullet"/>
        <w:ind w:left="360" w:hanging="360"/>
      </w:pPr>
      <w:r>
        <w:rPr>
          <w:rFonts w:ascii="Calibri" w:hAnsi="Calibri"/>
          <w:b/>
          <w:color w:val="525866"/>
          <w:sz w:val="22"/>
        </w:rPr>
        <w:t>May 14, 2026 — Investor Day at NYSE.</w:t>
      </w:r>
      <w:r>
        <w:rPr>
          <w:rFonts w:ascii="Calibri" w:hAnsi="Calibri"/>
          <w:color w:val="525866"/>
          <w:sz w:val="22"/>
        </w:rPr>
        <w:t xml:space="preserve"> Management formally sized the Rollins Way margin opportunity: technician turnover improvement ($15–20M annual savings / 30–40 bps), procurement centralization ($10M / 15–25 bps), fleet optimization. SG&amp;A opportunity characterized as "several hundred basis points" over time. </w:t>
      </w:r>
      <w:r>
        <w:rPr>
          <w:rFonts w:ascii="Calibri" w:hAnsi="Calibri"/>
          <w:b/>
          <w:color w:val="525866"/>
          <w:sz w:val="22"/>
        </w:rPr>
        <w:t xml:space="preserve">Implication: </w:t>
      </w:r>
      <w:r>
        <w:rPr>
          <w:rFonts w:ascii="Calibri" w:hAnsi="Calibri"/>
          <w:color w:val="525866"/>
          <w:sz w:val="22"/>
        </w:rPr>
        <w:t>Provided the most specific quantification of the margin thesis to date; positive for long-term bulls but did not move the stock given CFO overhang.</w:t>
      </w:r>
    </w:p>
    <w:p>
      <w:pPr>
        <w:pStyle w:val="ListBullet"/>
        <w:ind w:left="360" w:hanging="360"/>
      </w:pPr>
      <w:r>
        <w:rPr>
          <w:rFonts w:ascii="Calibri" w:hAnsi="Calibri"/>
          <w:b/>
          <w:color w:val="525866"/>
          <w:sz w:val="22"/>
        </w:rPr>
        <w:t>June 3–4, 2026 — William Blair &amp; Baird Conferences.</w:t>
      </w:r>
      <w:r>
        <w:rPr>
          <w:rFonts w:ascii="Calibri" w:hAnsi="Calibri"/>
          <w:color w:val="525866"/>
          <w:sz w:val="22"/>
        </w:rPr>
        <w:t xml:space="preserve"> Management acknowledged </w:t>
      </w:r>
      <w:r>
        <w:rPr>
          <w:rFonts w:ascii="Calibri" w:hAnsi="Calibri"/>
          <w:b/>
          <w:color w:val="525866"/>
          <w:sz w:val="22"/>
        </w:rPr>
        <w:t>continued choppiness in April and into May</w:t>
      </w:r>
      <w:r>
        <w:rPr>
          <w:rFonts w:ascii="Calibri" w:hAnsi="Calibri"/>
          <w:color w:val="525866"/>
          <w:sz w:val="22"/>
        </w:rPr>
        <w:t xml:space="preserve"> in one-time/ancillary services, while reaffirming 7–8% full-year organic growth guidance. Incoming CFO Harkins stated "no reason to come off 7–8% guidance." </w:t>
      </w:r>
      <w:r>
        <w:rPr>
          <w:rFonts w:ascii="Calibri" w:hAnsi="Calibri"/>
          <w:b/>
          <w:color w:val="525866"/>
          <w:sz w:val="22"/>
        </w:rPr>
        <w:t xml:space="preserve">Implication: </w:t>
      </w:r>
      <w:r>
        <w:rPr>
          <w:rFonts w:ascii="Calibri" w:hAnsi="Calibri"/>
          <w:color w:val="525866"/>
          <w:sz w:val="22"/>
        </w:rPr>
        <w:t>Confirmed the Q1 softness was not fully resolved by early Q2; peak summer months (June–August) are the make-or-break period for the full-year guide.</w:t>
      </w:r>
    </w:p>
    <w:p>
      <w:pPr>
        <w:pStyle w:val="ListBullet"/>
        <w:ind w:left="360" w:hanging="360"/>
      </w:pPr>
      <w:r>
        <w:rPr>
          <w:rFonts w:ascii="Calibri" w:hAnsi="Calibri"/>
          <w:b/>
          <w:color w:val="525866"/>
          <w:sz w:val="22"/>
        </w:rPr>
        <w:t>June 25–26, 2026 — Wells Fargo PT Cut; Weiss Ratings Downgrade.</w:t>
      </w:r>
      <w:r>
        <w:rPr>
          <w:rFonts w:ascii="Calibri" w:hAnsi="Calibri"/>
          <w:color w:val="525866"/>
          <w:sz w:val="22"/>
        </w:rPr>
        <w:t xml:space="preserve"> Wells Fargo cut PT from $55 to $46 (Equal Weight). Weiss Ratings downgraded to Hold (C). </w:t>
      </w:r>
      <w:r>
        <w:rPr>
          <w:rFonts w:ascii="Calibri" w:hAnsi="Calibri"/>
          <w:b/>
          <w:color w:val="525866"/>
          <w:sz w:val="22"/>
        </w:rPr>
        <w:t xml:space="preserve">Implication: </w:t>
      </w:r>
      <w:r>
        <w:rPr>
          <w:rFonts w:ascii="Calibri" w:hAnsi="Calibri"/>
          <w:color w:val="525866"/>
          <w:sz w:val="22"/>
        </w:rPr>
        <w:t>Continued sell-side pressure as stock approached 52-week lows; consensus PT has compressed significantly from ~$65 post-Q1 to ~$61 currently.</w:t>
      </w:r>
    </w:p>
    <w:p>
      <w:pPr>
        <w:pStyle w:val="ListBullet"/>
        <w:ind w:left="360" w:hanging="360"/>
      </w:pPr>
      <w:r>
        <w:rPr>
          <w:rFonts w:ascii="Calibri" w:hAnsi="Calibri"/>
          <w:b/>
          <w:color w:val="525866"/>
          <w:sz w:val="22"/>
        </w:rPr>
        <w:t>July 8, 2026 — Q2 2026 Earnings Date Announced.</w:t>
      </w:r>
      <w:r>
        <w:rPr>
          <w:rFonts w:ascii="Calibri" w:hAnsi="Calibri"/>
          <w:color w:val="525866"/>
          <w:sz w:val="22"/>
        </w:rPr>
        <w:t xml:space="preserve"> ROL confirmed Q2 2026 results will be released July 23, 2026. </w:t>
      </w:r>
      <w:r>
        <w:rPr>
          <w:rFonts w:ascii="Calibri" w:hAnsi="Calibri"/>
          <w:b/>
          <w:color w:val="525866"/>
          <w:sz w:val="22"/>
        </w:rPr>
        <w:t xml:space="preserve">Implication: </w:t>
      </w:r>
      <w:r>
        <w:rPr>
          <w:rFonts w:ascii="Calibri" w:hAnsi="Calibri"/>
          <w:color w:val="525866"/>
          <w:sz w:val="22"/>
        </w:rPr>
        <w:t>Provides a near-term catalyst; stock has stabilized in the $43–45 range ahead of the print.</w:t>
      </w:r>
    </w:p>
    <w:p>
      <w:pPr>
        <w:pStyle w:val="ListBullet"/>
        <w:ind w:left="360" w:hanging="360"/>
      </w:pPr>
      <w:r>
        <w:rPr>
          <w:rFonts w:ascii="Calibri" w:hAnsi="Calibri"/>
          <w:b/>
          <w:color w:val="525866"/>
          <w:sz w:val="22"/>
        </w:rPr>
        <w:t>July 15, 2026 — UBS PT Cut to $50; Citigroup Initiates at Neutral ($46).</w:t>
      </w:r>
      <w:r>
        <w:rPr>
          <w:rFonts w:ascii="Calibri" w:hAnsi="Calibri"/>
          <w:color w:val="525866"/>
          <w:sz w:val="22"/>
        </w:rPr>
        <w:t xml:space="preserve"> UBS (Joshua Chan) cut PT from $58 to $50. Citigroup (Marc Van't) initiated coverage at Neutral with a $46 PT. </w:t>
      </w:r>
      <w:r>
        <w:rPr>
          <w:rFonts w:ascii="Calibri" w:hAnsi="Calibri"/>
          <w:b/>
          <w:color w:val="525866"/>
          <w:sz w:val="22"/>
        </w:rPr>
        <w:t xml:space="preserve">Implication: </w:t>
      </w:r>
      <w:r>
        <w:rPr>
          <w:rFonts w:ascii="Calibri" w:hAnsi="Calibri"/>
          <w:color w:val="525866"/>
          <w:sz w:val="22"/>
        </w:rPr>
        <w:t>Two new cautious voices immediately ahead of earnings; Citi's $46 PT implies essentially no upside from current levels, reflecting the market's skepticism on near-term execution.</w:t>
      </w:r>
    </w:p>
    <w:p>
      <w:pPr>
        <w:pStyle w:val="ListBullet"/>
        <w:ind w:left="360" w:hanging="360"/>
      </w:pPr>
      <w:r>
        <w:rPr>
          <w:rFonts w:ascii="Calibri" w:hAnsi="Calibri"/>
          <w:b/>
          <w:color w:val="525866"/>
          <w:sz w:val="22"/>
        </w:rPr>
        <w:t>April 28, 2026 — Rothschild &amp; Co Redburn Upgrade to Strong Buy.</w:t>
      </w:r>
      <w:r>
        <w:rPr>
          <w:rFonts w:ascii="Calibri" w:hAnsi="Calibri"/>
          <w:color w:val="525866"/>
          <w:sz w:val="22"/>
        </w:rPr>
        <w:t xml:space="preserve"> Upgraded from Hold to Strong Buy, raised PT to $66, citing valuation and resilience of recurring contract portfolio. </w:t>
      </w:r>
      <w:r>
        <w:rPr>
          <w:rFonts w:ascii="Calibri" w:hAnsi="Calibri"/>
          <w:b/>
          <w:color w:val="525866"/>
          <w:sz w:val="22"/>
        </w:rPr>
        <w:t xml:space="preserve">Implication: </w:t>
      </w:r>
      <w:r>
        <w:rPr>
          <w:rFonts w:ascii="Calibri" w:hAnsi="Calibri"/>
          <w:color w:val="525866"/>
          <w:sz w:val="22"/>
        </w:rPr>
        <w:t>Contrarian bullish view immediately post-Q1 earnings; the stock has since fallen well below the upgrade price, making this call look premature.</w:t>
      </w:r>
    </w:p>
    <w:p>
      <w:r>
        <w:br w:type="page"/>
      </w:r>
    </w:p>
    <w:p>
      <w:pPr>
        <w:pStyle w:val="Heading2"/>
      </w:pPr>
      <w:r>
        <w:rPr>
          <w:rFonts w:ascii="Calibri" w:hAnsi="Calibri"/>
          <w:b/>
          <w:color w:val="3B4259"/>
          <w:sz w:val="28"/>
        </w:rPr>
        <w:t>8. Peer Commentaries — Read-Through for Q2 2026</w:t>
      </w:r>
    </w:p>
    <w:p>
      <w:r>
        <w:rPr>
          <w:rFonts w:ascii="Calibri" w:hAnsi="Calibri"/>
          <w:b/>
          <w:color w:val="525866"/>
          <w:sz w:val="22"/>
        </w:rPr>
        <w:t xml:space="preserve">Key Takeaway: </w:t>
      </w:r>
      <w:r>
        <w:rPr>
          <w:rFonts w:ascii="Calibri" w:hAnsi="Calibri"/>
          <w:color w:val="525866"/>
          <w:sz w:val="22"/>
        </w:rPr>
        <w:t xml:space="preserve">Peer commentary from Cintas (CTAS, reported July 15) and ABM Industries (ABM, reported June 5) provides </w:t>
      </w:r>
      <w:r>
        <w:rPr>
          <w:rFonts w:ascii="Calibri" w:hAnsi="Calibri"/>
          <w:b/>
          <w:color w:val="525866"/>
          <w:sz w:val="22"/>
        </w:rPr>
        <w:t>broadly constructive read-throughs</w:t>
      </w:r>
      <w:r>
        <w:rPr>
          <w:rFonts w:ascii="Calibri" w:hAnsi="Calibri"/>
          <w:color w:val="525866"/>
          <w:sz w:val="22"/>
        </w:rPr>
        <w:t xml:space="preserve"> for ROL's Q2 2026 — commercial services demand remains healthy, pricing is holding at CPI-plus levels, and the macro environment is resilient for essential/recurring services. The key divergence is that CTAS and ABM are not seeing the one-time/ancillary consumer softness that ROL flagged, which is specific to ROL's higher-ticket discretionary services.</w:t>
      </w:r>
    </w:p>
    <w:p>
      <w:pPr>
        <w:pStyle w:val="Heading3"/>
      </w:pPr>
      <w:r>
        <w:rPr>
          <w:rFonts w:ascii="Calibri" w:hAnsi="Calibri"/>
          <w:b/>
          <w:color w:val="3B4259"/>
          <w:sz w:val="24"/>
        </w:rPr>
        <w:t>Cintas Corporation (CTAS) — Q4 FY2026 Earnings Call (July 15, 2026)</w:t>
      </w:r>
    </w:p>
    <w:p>
      <w:r>
        <w:rPr>
          <w:rFonts w:ascii="Calibri" w:hAnsi="Calibri"/>
          <w:b/>
          <w:color w:val="525866"/>
          <w:sz w:val="22"/>
        </w:rPr>
        <w:t xml:space="preserve">Relevance: </w:t>
      </w:r>
      <w:r>
        <w:rPr>
          <w:rFonts w:ascii="Calibri" w:hAnsi="Calibri"/>
          <w:color w:val="525866"/>
          <w:sz w:val="22"/>
        </w:rPr>
        <w:t>CTAS is the closest large-cap peer in commercial services (uniform rental, facility services, fire protection). Its Q4 FY2026 covers the April–May 2026 calendar period, directly overlapping with ROL's Q2 2026. CTAS reports before ROL and is a strong read-through on commercial services demand, pricing, and labor cost trends.</w:t>
      </w:r>
    </w:p>
    <w:p>
      <w:pPr>
        <w:pStyle w:val="ListBullet"/>
        <w:ind w:left="360" w:hanging="360"/>
      </w:pPr>
      <w:r>
        <w:rPr>
          <w:rFonts w:ascii="Calibri" w:hAnsi="Calibri"/>
          <w:b/>
          <w:color w:val="525866"/>
          <w:sz w:val="22"/>
        </w:rPr>
        <w:t xml:space="preserve">Commercial demand remains robust: </w:t>
      </w:r>
      <w:r>
        <w:rPr>
          <w:rFonts w:ascii="Calibri" w:hAnsi="Calibri"/>
          <w:color w:val="525866"/>
          <w:sz w:val="22"/>
        </w:rPr>
        <w:t xml:space="preserve">CTAS reported Q4 FY2026 organic revenue growth of 8.4% and full-year organic growth of 8.3%, with management stating "high demand in all of our product lines." This is a </w:t>
      </w:r>
      <w:r>
        <w:rPr>
          <w:rFonts w:ascii="Calibri" w:hAnsi="Calibri"/>
          <w:b/>
          <w:color w:val="30A46C"/>
          <w:sz w:val="22"/>
        </w:rPr>
        <w:t>positive read-through</w:t>
      </w:r>
      <w:r>
        <w:rPr>
          <w:rFonts w:ascii="Calibri" w:hAnsi="Calibri"/>
          <w:color w:val="525866"/>
          <w:sz w:val="22"/>
        </w:rPr>
        <w:t xml:space="preserve"> for ROL's commercial segment, which is targeting double-digit recurring growth.</w:t>
      </w:r>
    </w:p>
    <w:p>
      <w:pPr>
        <w:pStyle w:val="ListBullet"/>
        <w:ind w:left="360" w:hanging="360"/>
      </w:pPr>
      <w:r>
        <w:rPr>
          <w:rFonts w:ascii="Calibri" w:hAnsi="Calibri"/>
          <w:b/>
          <w:color w:val="525866"/>
          <w:sz w:val="22"/>
        </w:rPr>
        <w:t xml:space="preserve">Pricing holding at historical levels: </w:t>
      </w:r>
      <w:r>
        <w:rPr>
          <w:rFonts w:ascii="Calibri" w:hAnsi="Calibri"/>
          <w:color w:val="525866"/>
          <w:sz w:val="22"/>
        </w:rPr>
        <w:t>CTAS noted "retention rates remain very attractive and pricing was close to our historical levels, maybe slightly above historical." This validates ROL's CPI-plus pricing model and suggests the pricing environment remains supportive for essential commercial services.</w:t>
      </w:r>
    </w:p>
    <w:p>
      <w:pPr>
        <w:pStyle w:val="ListBullet"/>
        <w:ind w:left="360" w:hanging="360"/>
      </w:pPr>
      <w:r>
        <w:rPr>
          <w:rFonts w:ascii="Calibri" w:hAnsi="Calibri"/>
          <w:b/>
          <w:color w:val="525866"/>
          <w:sz w:val="22"/>
        </w:rPr>
        <w:t xml:space="preserve">Macro resilience across economic cycles: </w:t>
      </w:r>
      <w:r>
        <w:rPr>
          <w:rFonts w:ascii="Calibri" w:hAnsi="Calibri"/>
          <w:color w:val="525866"/>
          <w:sz w:val="22"/>
        </w:rPr>
        <w:t xml:space="preserve">CTAS management stated "our value proposition resonates in all economic cycles" and that "macro uncertainty creates a tremendous amount of opportunity" as businesses outsource non-core functions. This is a </w:t>
      </w:r>
      <w:r>
        <w:rPr>
          <w:rFonts w:ascii="Calibri" w:hAnsi="Calibri"/>
          <w:b/>
          <w:color w:val="30A46C"/>
          <w:sz w:val="22"/>
        </w:rPr>
        <w:t>positive read-through</w:t>
      </w:r>
      <w:r>
        <w:rPr>
          <w:rFonts w:ascii="Calibri" w:hAnsi="Calibri"/>
          <w:color w:val="525866"/>
          <w:sz w:val="22"/>
        </w:rPr>
        <w:t xml:space="preserve"> for ROL's recurring commercial and residential pest control base.</w:t>
      </w:r>
    </w:p>
    <w:p>
      <w:pPr>
        <w:pStyle w:val="ListBullet"/>
        <w:ind w:left="360" w:hanging="360"/>
      </w:pPr>
      <w:r>
        <w:rPr>
          <w:rFonts w:ascii="Calibri" w:hAnsi="Calibri"/>
          <w:b/>
          <w:color w:val="525866"/>
          <w:sz w:val="22"/>
        </w:rPr>
        <w:t xml:space="preserve">Incremental margins at 38% in Q4 — highest in 5 quarters: </w:t>
      </w:r>
      <w:r>
        <w:rPr>
          <w:rFonts w:ascii="Calibri" w:hAnsi="Calibri"/>
          <w:color w:val="525866"/>
          <w:sz w:val="22"/>
        </w:rPr>
        <w:t xml:space="preserve">CTAS delivered "adjusted incremental profit margins of effectively 38%" in Q4, the highest over the last five quarters, and guided FY2027 incremental margins of 30–32%. This is a </w:t>
      </w:r>
      <w:r>
        <w:rPr>
          <w:rFonts w:ascii="Calibri" w:hAnsi="Calibri"/>
          <w:b/>
          <w:color w:val="30A46C"/>
          <w:sz w:val="22"/>
        </w:rPr>
        <w:t>positive read-through</w:t>
      </w:r>
      <w:r>
        <w:rPr>
          <w:rFonts w:ascii="Calibri" w:hAnsi="Calibri"/>
          <w:color w:val="525866"/>
          <w:sz w:val="22"/>
        </w:rPr>
        <w:t xml:space="preserve"> for ROL's own 25–30% near-term / 30–35% medium-term incremental margin targets, suggesting the industry can sustain high incremental margins through peak season.</w:t>
      </w:r>
    </w:p>
    <w:p>
      <w:pPr>
        <w:pStyle w:val="ListBullet"/>
        <w:ind w:left="360" w:hanging="360"/>
      </w:pPr>
      <w:r>
        <w:rPr>
          <w:rFonts w:ascii="Calibri" w:hAnsi="Calibri"/>
          <w:b/>
          <w:color w:val="525866"/>
          <w:sz w:val="22"/>
        </w:rPr>
        <w:t xml:space="preserve">Labor/energy cost headwinds manageable: </w:t>
      </w:r>
      <w:r>
        <w:rPr>
          <w:rFonts w:ascii="Calibri" w:hAnsi="Calibri"/>
          <w:color w:val="525866"/>
          <w:sz w:val="22"/>
        </w:rPr>
        <w:t>CTAS noted energy costs were up ~20 bps YoY in Q4 but characterized the impact as "minimal." Labor cost management focused on removing inefficiencies rather than passing costs to customers. Neutral read-through for ROL's insurance/claims cost headwind, which is company-specific.</w:t>
      </w:r>
    </w:p>
    <w:p>
      <w:pPr>
        <w:pStyle w:val="ListBullet"/>
        <w:ind w:left="360" w:hanging="360"/>
      </w:pPr>
      <w:r>
        <w:rPr>
          <w:rFonts w:ascii="Calibri" w:hAnsi="Calibri"/>
          <w:b/>
          <w:color w:val="525866"/>
          <w:sz w:val="22"/>
        </w:rPr>
        <w:t xml:space="preserve">Vertical mix favors healthcare, education, hospitality: </w:t>
      </w:r>
      <w:r>
        <w:rPr>
          <w:rFonts w:ascii="Calibri" w:hAnsi="Calibri"/>
          <w:color w:val="525866"/>
          <w:sz w:val="22"/>
        </w:rPr>
        <w:t xml:space="preserve">CTAS highlighted "nice growth in healthcare, education, hospitality" while white-collar/tech sector was weaker. ROL's commercial business is similarly diversified across food processing, logistics, healthcare, and hospitality — a </w:t>
      </w:r>
      <w:r>
        <w:rPr>
          <w:rFonts w:ascii="Calibri" w:hAnsi="Calibri"/>
          <w:b/>
          <w:color w:val="30A46C"/>
          <w:sz w:val="22"/>
        </w:rPr>
        <w:t>positive read-through</w:t>
      </w:r>
      <w:r>
        <w:rPr>
          <w:rFonts w:ascii="Calibri" w:hAnsi="Calibri"/>
          <w:color w:val="525866"/>
          <w:sz w:val="22"/>
        </w:rPr>
        <w:t xml:space="preserve"> for ROL's commercial vertical strategy.</w:t>
      </w:r>
    </w:p>
    <w:p>
      <w:pPr>
        <w:pStyle w:val="ListBullet"/>
        <w:ind w:left="360" w:hanging="360"/>
      </w:pPr>
      <w:r>
        <w:rPr>
          <w:rFonts w:ascii="Calibri" w:hAnsi="Calibri"/>
          <w:b/>
          <w:color w:val="525866"/>
          <w:sz w:val="22"/>
        </w:rPr>
        <w:t xml:space="preserve">FY2027 guidance: revenue $12.1–12.25B (+7.4–8.7%), adj. EPS $5.36–5.50 (+8.5–11.3%): </w:t>
      </w:r>
      <w:r>
        <w:rPr>
          <w:rFonts w:ascii="Calibri" w:hAnsi="Calibri"/>
          <w:color w:val="525866"/>
          <w:sz w:val="22"/>
        </w:rPr>
        <w:t>CTAS's forward guidance implies sustained mid-to-high single-digit organic growth and double-digit EPS growth — consistent with the broader commercial services sector outlook and supportive of ROL's own long-term algorithm.</w:t>
      </w:r>
    </w:p>
    <w:p>
      <w:pPr>
        <w:pStyle w:val="Heading3"/>
      </w:pPr>
      <w:r>
        <w:rPr>
          <w:rFonts w:ascii="Calibri" w:hAnsi="Calibri"/>
          <w:b/>
          <w:color w:val="3B4259"/>
          <w:sz w:val="24"/>
        </w:rPr>
        <w:t>ABM Industries (ABM) — Q2 FY2026 Earnings Call (June 5, 2026)</w:t>
      </w:r>
    </w:p>
    <w:p>
      <w:r>
        <w:rPr>
          <w:rFonts w:ascii="Calibri" w:hAnsi="Calibri"/>
          <w:b/>
          <w:color w:val="525866"/>
          <w:sz w:val="22"/>
        </w:rPr>
        <w:t xml:space="preserve">Relevance: </w:t>
      </w:r>
      <w:r>
        <w:rPr>
          <w:rFonts w:ascii="Calibri" w:hAnsi="Calibri"/>
          <w:color w:val="525866"/>
          <w:sz w:val="22"/>
        </w:rPr>
        <w:t>ABM is a commercial facility services company with significant exposure to commercial real estate, aviation, manufacturing, and technical solutions. Its Q2 FY2026 (March–May 2026) overlaps with the early portion of ROL's Q2 2026. ABM provides read-through on commercial services demand, labor costs, and the macro environment for essential B2B services.</w:t>
      </w:r>
    </w:p>
    <w:p>
      <w:pPr>
        <w:pStyle w:val="ListBullet"/>
        <w:ind w:left="360" w:hanging="360"/>
      </w:pPr>
      <w:r>
        <w:rPr>
          <w:rFonts w:ascii="Calibri" w:hAnsi="Calibri"/>
          <w:b/>
          <w:color w:val="525866"/>
          <w:sz w:val="22"/>
        </w:rPr>
        <w:t xml:space="preserve">Strongest consolidated organic growth since Q3 2022 at 6.1%: </w:t>
      </w:r>
      <w:r>
        <w:rPr>
          <w:rFonts w:ascii="Calibri" w:hAnsi="Calibri"/>
          <w:color w:val="525866"/>
          <w:sz w:val="22"/>
        </w:rPr>
        <w:t xml:space="preserve">ABM delivered its best organic growth in nearly four years, driven by Technical Solutions (+22% organic) and Aviation (+20%). This is a </w:t>
      </w:r>
      <w:r>
        <w:rPr>
          <w:rFonts w:ascii="Calibri" w:hAnsi="Calibri"/>
          <w:b/>
          <w:color w:val="30A46C"/>
          <w:sz w:val="22"/>
        </w:rPr>
        <w:t>positive read-through</w:t>
      </w:r>
      <w:r>
        <w:rPr>
          <w:rFonts w:ascii="Calibri" w:hAnsi="Calibri"/>
          <w:color w:val="525866"/>
          <w:sz w:val="22"/>
        </w:rPr>
        <w:t xml:space="preserve"> for the broader commercial services demand environment heading into ROL's Q2.</w:t>
      </w:r>
    </w:p>
    <w:p>
      <w:pPr>
        <w:pStyle w:val="ListBullet"/>
        <w:ind w:left="360" w:hanging="360"/>
      </w:pPr>
      <w:r>
        <w:rPr>
          <w:rFonts w:ascii="Calibri" w:hAnsi="Calibri"/>
          <w:b/>
          <w:color w:val="525866"/>
          <w:sz w:val="22"/>
        </w:rPr>
        <w:t xml:space="preserve">Price escalation actions gaining traction: </w:t>
      </w:r>
      <w:r>
        <w:rPr>
          <w:rFonts w:ascii="Calibri" w:hAnsi="Calibri"/>
          <w:color w:val="525866"/>
          <w:sz w:val="22"/>
        </w:rPr>
        <w:t xml:space="preserve">ABM noted "cost discipline and price escalation actions are gaining traction" and expects "healthy sequential margin improvement in Q3 and Q4." This validates the pricing environment for essential commercial services and is a </w:t>
      </w:r>
      <w:r>
        <w:rPr>
          <w:rFonts w:ascii="Calibri" w:hAnsi="Calibri"/>
          <w:b/>
          <w:color w:val="30A46C"/>
          <w:sz w:val="22"/>
        </w:rPr>
        <w:t>positive read-through</w:t>
      </w:r>
      <w:r>
        <w:rPr>
          <w:rFonts w:ascii="Calibri" w:hAnsi="Calibri"/>
          <w:color w:val="525866"/>
          <w:sz w:val="22"/>
        </w:rPr>
        <w:t xml:space="preserve"> for ROL's CPI-plus pricing model.</w:t>
      </w:r>
    </w:p>
    <w:p>
      <w:pPr>
        <w:pStyle w:val="ListBullet"/>
        <w:ind w:left="360" w:hanging="360"/>
      </w:pPr>
      <w:r>
        <w:rPr>
          <w:rFonts w:ascii="Calibri" w:hAnsi="Calibri"/>
          <w:b/>
          <w:color w:val="525866"/>
          <w:sz w:val="22"/>
        </w:rPr>
        <w:t xml:space="preserve">Commercial real estate recovery uneven but improving: </w:t>
      </w:r>
      <w:r>
        <w:rPr>
          <w:rFonts w:ascii="Calibri" w:hAnsi="Calibri"/>
          <w:color w:val="525866"/>
          <w:sz w:val="22"/>
        </w:rPr>
        <w:t xml:space="preserve">ABM's B&amp;I (Business &amp; Industry) segment was flat organically due to client exits, but noted "U.S. office leasing approaching 2019 levels" and "net absorption turned significantly positive." The "flight to quality" dynamic favors prime assets. </w:t>
      </w:r>
      <w:r>
        <w:rPr>
          <w:rFonts w:ascii="Calibri" w:hAnsi="Calibri"/>
          <w:b/>
          <w:color w:val="525866"/>
          <w:sz w:val="22"/>
        </w:rPr>
        <w:t>Neutral read-through</w:t>
      </w:r>
      <w:r>
        <w:rPr>
          <w:rFonts w:ascii="Calibri" w:hAnsi="Calibri"/>
          <w:color w:val="525866"/>
          <w:sz w:val="22"/>
        </w:rPr>
        <w:t xml:space="preserve"> for ROL — ROL's commercial pest control is less dependent on office occupancy than ABM's facility services.</w:t>
      </w:r>
    </w:p>
    <w:p>
      <w:pPr>
        <w:pStyle w:val="ListBullet"/>
        <w:ind w:left="360" w:hanging="360"/>
      </w:pPr>
      <w:r>
        <w:rPr>
          <w:rFonts w:ascii="Calibri" w:hAnsi="Calibri"/>
          <w:b/>
          <w:color w:val="525866"/>
          <w:sz w:val="22"/>
        </w:rPr>
        <w:t xml:space="preserve">AI data center build-out as a new commercial vertical: </w:t>
      </w:r>
      <w:r>
        <w:rPr>
          <w:rFonts w:ascii="Calibri" w:hAnsi="Calibri"/>
          <w:color w:val="525866"/>
          <w:sz w:val="22"/>
        </w:rPr>
        <w:t xml:space="preserve">ABM highlighted the semiconductor/data center build-out as "one of the most compelling growth stories in American manufacturing" with $645B+ in announced investment. ROL management has similarly identified data centers as a high-value commercial vertical for pest control. </w:t>
      </w:r>
      <w:r>
        <w:rPr>
          <w:rFonts w:ascii="Calibri" w:hAnsi="Calibri"/>
          <w:b/>
          <w:color w:val="30A46C"/>
          <w:sz w:val="22"/>
        </w:rPr>
        <w:t>Positive read-through</w:t>
      </w:r>
      <w:r>
        <w:rPr>
          <w:rFonts w:ascii="Calibri" w:hAnsi="Calibri"/>
          <w:color w:val="525866"/>
          <w:sz w:val="22"/>
        </w:rPr>
        <w:t xml:space="preserve"> for ROL's data center commercial opportunity.</w:t>
      </w:r>
    </w:p>
    <w:p>
      <w:pPr>
        <w:pStyle w:val="ListBullet"/>
        <w:ind w:left="360" w:hanging="360"/>
      </w:pPr>
      <w:r>
        <w:rPr>
          <w:rFonts w:ascii="Calibri" w:hAnsi="Calibri"/>
          <w:b/>
          <w:color w:val="525866"/>
          <w:sz w:val="22"/>
        </w:rPr>
        <w:t xml:space="preserve">Labor flexibility and AI-driven optimization: </w:t>
      </w:r>
      <w:r>
        <w:rPr>
          <w:rFonts w:ascii="Calibri" w:hAnsi="Calibri"/>
          <w:color w:val="525866"/>
          <w:sz w:val="22"/>
        </w:rPr>
        <w:t>ABM highlighted its "LaborIQ" AI tool for labor optimization and noted HVAC technicians are "in high demand nationwide for data center construction." ROL faces similar labor dynamics; ABM's success in managing labor costs through technology is a positive signal for ROL's own workforce efficiency initiatives.</w:t>
      </w:r>
    </w:p>
    <w:p>
      <w:pPr>
        <w:pStyle w:val="ListBullet"/>
        <w:ind w:left="360" w:hanging="360"/>
      </w:pPr>
      <w:r>
        <w:rPr>
          <w:rFonts w:ascii="Calibri" w:hAnsi="Calibri"/>
          <w:b/>
          <w:color w:val="525866"/>
          <w:sz w:val="22"/>
        </w:rPr>
        <w:t xml:space="preserve">Full-year adj. EPS guidance maintained at $3.85–4.15; FCF ~$250M: </w:t>
      </w:r>
      <w:r>
        <w:rPr>
          <w:rFonts w:ascii="Calibri" w:hAnsi="Calibri"/>
          <w:color w:val="525866"/>
          <w:sz w:val="22"/>
        </w:rPr>
        <w:t xml:space="preserve">ABM maintained full-year guidance despite near-term macro uncertainty, citing strong second-half setup. This is consistent with the broader theme of essential services companies maintaining guidance through choppy macro environments — a </w:t>
      </w:r>
      <w:r>
        <w:rPr>
          <w:rFonts w:ascii="Calibri" w:hAnsi="Calibri"/>
          <w:b/>
          <w:color w:val="30A46C"/>
          <w:sz w:val="22"/>
        </w:rPr>
        <w:t>positive read-through</w:t>
      </w:r>
      <w:r>
        <w:rPr>
          <w:rFonts w:ascii="Calibri" w:hAnsi="Calibri"/>
          <w:color w:val="525866"/>
          <w:sz w:val="22"/>
        </w:rPr>
        <w:t xml:space="preserve"> for ROL's own guidance reaffirmation credibility.</w:t>
      </w:r>
    </w:p>
    <w:p>
      <w:pPr>
        <w:pStyle w:val="Heading3"/>
      </w:pPr>
      <w:r>
        <w:rPr>
          <w:rFonts w:ascii="Calibri" w:hAnsi="Calibri"/>
          <w:b/>
          <w:color w:val="3B4259"/>
          <w:sz w:val="24"/>
        </w:rPr>
        <w:t>Summary Read-Through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CTAS Signal</w:t>
            </w:r>
          </w:p>
        </w:tc>
        <w:tc>
          <w:tcPr>
            <w:tcW w:type="dxa" w:w="2160"/>
            <w:shd w:val="clear" w:color="auto" w:fill="3B4259"/>
          </w:tcPr>
          <w:p>
            <w:r>
              <w:rPr>
                <w:rFonts w:ascii="Calibri" w:hAnsi="Calibri"/>
                <w:b/>
                <w:color w:val="FFFFFF"/>
                <w:sz w:val="22"/>
              </w:rPr>
              <w:t>ABM Signal</w:t>
            </w:r>
          </w:p>
        </w:tc>
        <w:tc>
          <w:tcPr>
            <w:tcW w:type="dxa" w:w="2160"/>
            <w:shd w:val="clear" w:color="auto" w:fill="3B4259"/>
          </w:tcPr>
          <w:p>
            <w:r>
              <w:rPr>
                <w:rFonts w:ascii="Calibri" w:hAnsi="Calibri"/>
                <w:b/>
                <w:color w:val="FFFFFF"/>
                <w:sz w:val="22"/>
              </w:rPr>
              <w:t>ROL Read-Through</w:t>
            </w:r>
          </w:p>
        </w:tc>
      </w:tr>
      <w:tr>
        <w:tc>
          <w:tcPr>
            <w:tcW w:type="dxa" w:w="2160"/>
          </w:tcPr>
          <w:p>
            <w:r>
              <w:rPr>
                <w:rFonts w:ascii="Calibri" w:hAnsi="Calibri"/>
                <w:sz w:val="22"/>
              </w:rPr>
              <w:t>Commercial Services Demand</w:t>
            </w:r>
          </w:p>
        </w:tc>
        <w:tc>
          <w:tcPr>
            <w:tcW w:type="dxa" w:w="2160"/>
          </w:tcPr>
          <w:p>
            <w:r>
              <w:rPr>
                <w:rFonts w:ascii="Calibri" w:hAnsi="Calibri"/>
                <w:b/>
                <w:color w:val="30A46C"/>
                <w:sz w:val="22"/>
              </w:rPr>
              <w:t>Strong (8.4% organic)</w:t>
            </w:r>
          </w:p>
        </w:tc>
        <w:tc>
          <w:tcPr>
            <w:tcW w:type="dxa" w:w="2160"/>
          </w:tcPr>
          <w:p>
            <w:r>
              <w:rPr>
                <w:rFonts w:ascii="Calibri" w:hAnsi="Calibri"/>
                <w:b/>
                <w:color w:val="30A46C"/>
                <w:sz w:val="22"/>
              </w:rPr>
              <w:t>Strong (6.1% organic, best since Q3 2022)</w:t>
            </w:r>
          </w:p>
        </w:tc>
        <w:tc>
          <w:tcPr>
            <w:tcW w:type="dxa" w:w="2160"/>
          </w:tcPr>
          <w:p>
            <w:r>
              <w:rPr>
                <w:rFonts w:ascii="Calibri" w:hAnsi="Calibri"/>
                <w:b/>
                <w:color w:val="30A46C"/>
                <w:sz w:val="22"/>
              </w:rPr>
              <w:t>Positive — supports ROL commercial double-digit recurring target</w:t>
            </w:r>
          </w:p>
        </w:tc>
      </w:tr>
      <w:tr>
        <w:tc>
          <w:tcPr>
            <w:tcW w:type="dxa" w:w="2160"/>
          </w:tcPr>
          <w:p>
            <w:r>
              <w:rPr>
                <w:rFonts w:ascii="Calibri" w:hAnsi="Calibri"/>
                <w:sz w:val="22"/>
              </w:rPr>
              <w:t>Pricing Environment</w:t>
            </w:r>
          </w:p>
        </w:tc>
        <w:tc>
          <w:tcPr>
            <w:tcW w:type="dxa" w:w="2160"/>
          </w:tcPr>
          <w:p>
            <w:r>
              <w:rPr>
                <w:rFonts w:ascii="Calibri" w:hAnsi="Calibri"/>
                <w:b/>
                <w:color w:val="30A46C"/>
                <w:sz w:val="22"/>
              </w:rPr>
              <w:t>At/slightly above historical levels</w:t>
            </w:r>
          </w:p>
        </w:tc>
        <w:tc>
          <w:tcPr>
            <w:tcW w:type="dxa" w:w="2160"/>
          </w:tcPr>
          <w:p>
            <w:r>
              <w:rPr>
                <w:rFonts w:ascii="Calibri" w:hAnsi="Calibri"/>
                <w:b/>
                <w:color w:val="30A46C"/>
                <w:sz w:val="22"/>
              </w:rPr>
              <w:t>Escalations gaining traction</w:t>
            </w:r>
          </w:p>
        </w:tc>
        <w:tc>
          <w:tcPr>
            <w:tcW w:type="dxa" w:w="2160"/>
          </w:tcPr>
          <w:p>
            <w:r>
              <w:rPr>
                <w:rFonts w:ascii="Calibri" w:hAnsi="Calibri"/>
                <w:b/>
                <w:color w:val="30A46C"/>
                <w:sz w:val="22"/>
              </w:rPr>
              <w:t>Positive — CPI-plus model intact</w:t>
            </w:r>
          </w:p>
        </w:tc>
      </w:tr>
      <w:tr>
        <w:tc>
          <w:tcPr>
            <w:tcW w:type="dxa" w:w="2160"/>
          </w:tcPr>
          <w:p>
            <w:r>
              <w:rPr>
                <w:rFonts w:ascii="Calibri" w:hAnsi="Calibri"/>
                <w:sz w:val="22"/>
              </w:rPr>
              <w:t>Incremental Margins</w:t>
            </w:r>
          </w:p>
        </w:tc>
        <w:tc>
          <w:tcPr>
            <w:tcW w:type="dxa" w:w="2160"/>
          </w:tcPr>
          <w:p>
            <w:r>
              <w:rPr>
                <w:rFonts w:ascii="Calibri" w:hAnsi="Calibri"/>
                <w:b/>
                <w:color w:val="30A46C"/>
                <w:sz w:val="22"/>
              </w:rPr>
              <w:t>38% in Q4 (5-quarter high)</w:t>
            </w:r>
          </w:p>
        </w:tc>
        <w:tc>
          <w:tcPr>
            <w:tcW w:type="dxa" w:w="2160"/>
          </w:tcPr>
          <w:p>
            <w:r>
              <w:rPr>
                <w:rFonts w:ascii="Calibri" w:hAnsi="Calibri"/>
                <w:b/>
                <w:color w:val="30A46C"/>
                <w:sz w:val="22"/>
              </w:rPr>
              <w:t>Sequential improvement expected H2</w:t>
            </w:r>
          </w:p>
        </w:tc>
        <w:tc>
          <w:tcPr>
            <w:tcW w:type="dxa" w:w="2160"/>
          </w:tcPr>
          <w:p>
            <w:r>
              <w:rPr>
                <w:rFonts w:ascii="Calibri" w:hAnsi="Calibri"/>
                <w:b/>
                <w:color w:val="30A46C"/>
                <w:sz w:val="22"/>
              </w:rPr>
              <w:t>Positive — industry can sustain high incrementals through peak season</w:t>
            </w:r>
          </w:p>
        </w:tc>
      </w:tr>
      <w:tr>
        <w:tc>
          <w:tcPr>
            <w:tcW w:type="dxa" w:w="2160"/>
          </w:tcPr>
          <w:p>
            <w:r>
              <w:rPr>
                <w:rFonts w:ascii="Calibri" w:hAnsi="Calibri"/>
                <w:sz w:val="22"/>
              </w:rPr>
              <w:t>Macro / Consumer Demand</w:t>
            </w:r>
          </w:p>
        </w:tc>
        <w:tc>
          <w:tcPr>
            <w:tcW w:type="dxa" w:w="2160"/>
          </w:tcPr>
          <w:p>
            <w:r>
              <w:rPr>
                <w:rFonts w:ascii="Calibri" w:hAnsi="Calibri"/>
                <w:sz w:val="22"/>
              </w:rPr>
              <w:t>Resilient; uncertainty = opportunity</w:t>
            </w:r>
          </w:p>
        </w:tc>
        <w:tc>
          <w:tcPr>
            <w:tcW w:type="dxa" w:w="2160"/>
          </w:tcPr>
          <w:p>
            <w:r>
              <w:rPr>
                <w:rFonts w:ascii="Calibri" w:hAnsi="Calibri"/>
                <w:sz w:val="22"/>
              </w:rPr>
              <w:t>Constructive; end markets largely intact</w:t>
            </w:r>
          </w:p>
        </w:tc>
        <w:tc>
          <w:tcPr>
            <w:tcW w:type="dxa" w:w="2160"/>
          </w:tcPr>
          <w:p>
            <w:r>
              <w:rPr>
                <w:rFonts w:ascii="Calibri" w:hAnsi="Calibri"/>
                <w:sz w:val="22"/>
              </w:rPr>
              <w:t>Positive for recurring base; one-time services remain ROL-specific risk</w:t>
            </w:r>
          </w:p>
        </w:tc>
      </w:tr>
      <w:tr>
        <w:tc>
          <w:tcPr>
            <w:tcW w:type="dxa" w:w="2160"/>
          </w:tcPr>
          <w:p>
            <w:r>
              <w:rPr>
                <w:rFonts w:ascii="Calibri" w:hAnsi="Calibri"/>
                <w:sz w:val="22"/>
              </w:rPr>
              <w:t>Labor / Energy Costs</w:t>
            </w:r>
          </w:p>
        </w:tc>
        <w:tc>
          <w:tcPr>
            <w:tcW w:type="dxa" w:w="2160"/>
          </w:tcPr>
          <w:p>
            <w:r>
              <w:rPr>
                <w:rFonts w:ascii="Calibri" w:hAnsi="Calibri"/>
                <w:sz w:val="22"/>
              </w:rPr>
              <w:t>Energy +20 bps; manageable</w:t>
            </w:r>
          </w:p>
        </w:tc>
        <w:tc>
          <w:tcPr>
            <w:tcW w:type="dxa" w:w="2160"/>
          </w:tcPr>
          <w:p>
            <w:r>
              <w:rPr>
                <w:rFonts w:ascii="Calibri" w:hAnsi="Calibri"/>
                <w:sz w:val="22"/>
              </w:rPr>
              <w:t>Labor flexibility via AI tools</w:t>
            </w:r>
          </w:p>
        </w:tc>
        <w:tc>
          <w:tcPr>
            <w:tcW w:type="dxa" w:w="2160"/>
          </w:tcPr>
          <w:p>
            <w:r>
              <w:rPr>
                <w:rFonts w:ascii="Calibri" w:hAnsi="Calibri"/>
                <w:sz w:val="22"/>
              </w:rPr>
              <w:t>Neutral — ROL's insurance/claims cost is company-specific</w:t>
            </w:r>
          </w:p>
        </w:tc>
      </w:tr>
      <w:tr>
        <w:tc>
          <w:tcPr>
            <w:tcW w:type="dxa" w:w="2160"/>
          </w:tcPr>
          <w:p>
            <w:r>
              <w:rPr>
                <w:rFonts w:ascii="Calibri" w:hAnsi="Calibri"/>
                <w:sz w:val="22"/>
              </w:rPr>
              <w:t>Data Center / AI Vertical</w:t>
            </w:r>
          </w:p>
        </w:tc>
        <w:tc>
          <w:tcPr>
            <w:tcW w:type="dxa" w:w="2160"/>
          </w:tcPr>
          <w:p>
            <w:r>
              <w:rPr>
                <w:rFonts w:ascii="Calibri" w:hAnsi="Calibri"/>
                <w:sz w:val="22"/>
              </w:rPr>
              <w:t>Not directly applicable</w:t>
            </w:r>
          </w:p>
        </w:tc>
        <w:tc>
          <w:tcPr>
            <w:tcW w:type="dxa" w:w="2160"/>
          </w:tcPr>
          <w:p>
            <w:r>
              <w:rPr>
                <w:rFonts w:ascii="Calibri" w:hAnsi="Calibri"/>
                <w:b/>
                <w:color w:val="30A46C"/>
                <w:sz w:val="22"/>
              </w:rPr>
              <w:t>Major new vertical (Nexus); $645B+ investment pipeline</w:t>
            </w:r>
          </w:p>
        </w:tc>
        <w:tc>
          <w:tcPr>
            <w:tcW w:type="dxa" w:w="2160"/>
          </w:tcPr>
          <w:p>
            <w:r>
              <w:rPr>
                <w:rFonts w:ascii="Calibri" w:hAnsi="Calibri"/>
                <w:b/>
                <w:color w:val="30A46C"/>
                <w:sz w:val="22"/>
              </w:rPr>
              <w:t>Positive — validates ROL's data center commercial pest control opportunity</w:t>
            </w:r>
          </w:p>
        </w:tc>
      </w:tr>
      <w:tr>
        <w:tc>
          <w:tcPr>
            <w:tcW w:type="dxa" w:w="2160"/>
          </w:tcPr>
          <w:p>
            <w:r>
              <w:rPr>
                <w:rFonts w:ascii="Calibri" w:hAnsi="Calibri"/>
                <w:sz w:val="22"/>
              </w:rPr>
              <w:t>Guidance Credibility</w:t>
            </w:r>
          </w:p>
        </w:tc>
        <w:tc>
          <w:tcPr>
            <w:tcW w:type="dxa" w:w="2160"/>
          </w:tcPr>
          <w:p>
            <w:r>
              <w:rPr>
                <w:rFonts w:ascii="Calibri" w:hAnsi="Calibri"/>
                <w:b/>
                <w:color w:val="30A46C"/>
                <w:sz w:val="22"/>
              </w:rPr>
              <w:t>FY2027 guide maintained; 10% EPS growth midpoint</w:t>
            </w:r>
          </w:p>
        </w:tc>
        <w:tc>
          <w:tcPr>
            <w:tcW w:type="dxa" w:w="2160"/>
          </w:tcPr>
          <w:p>
            <w:r>
              <w:rPr>
                <w:rFonts w:ascii="Calibri" w:hAnsi="Calibri"/>
                <w:b/>
                <w:color w:val="30A46C"/>
                <w:sz w:val="22"/>
              </w:rPr>
              <w:t>Full-year EPS guide maintained</w:t>
            </w:r>
          </w:p>
        </w:tc>
        <w:tc>
          <w:tcPr>
            <w:tcW w:type="dxa" w:w="2160"/>
          </w:tcPr>
          <w:p>
            <w:r>
              <w:rPr>
                <w:rFonts w:ascii="Calibri" w:hAnsi="Calibri"/>
                <w:b/>
                <w:color w:val="30A46C"/>
                <w:sz w:val="22"/>
              </w:rPr>
              <w:t>Positive — peers maintaining guidance supports ROL's 7-8% reaffirmation credibility</w:t>
            </w:r>
          </w:p>
        </w:tc>
      </w:tr>
    </w:tbl>
    <w:p>
      <w:r>
        <w:rPr>
          <w:rFonts w:ascii="Calibri" w:hAnsi="Calibri"/>
          <w:b/>
          <w:color w:val="525866"/>
          <w:sz w:val="22"/>
        </w:rPr>
        <w:t xml:space="preserve">Key Divergence: </w:t>
      </w:r>
      <w:r>
        <w:rPr>
          <w:rFonts w:ascii="Calibri" w:hAnsi="Calibri"/>
          <w:color w:val="525866"/>
          <w:sz w:val="22"/>
        </w:rPr>
        <w:t xml:space="preserve">Neither CTAS nor ABM flagged the one-time/ancillary consumer softness that ROL management explicitly acknowledged at the June conferences. This suggests the choppiness in ROL's higher-ticket discretionary services (exclusion, insulation) is </w:t>
      </w:r>
      <w:r>
        <w:rPr>
          <w:rFonts w:ascii="Calibri" w:hAnsi="Calibri"/>
          <w:b/>
          <w:color w:val="525866"/>
          <w:sz w:val="22"/>
        </w:rPr>
        <w:t>company-specific and consumer-driven</w:t>
      </w:r>
      <w:r>
        <w:rPr>
          <w:rFonts w:ascii="Calibri" w:hAnsi="Calibri"/>
          <w:color w:val="525866"/>
          <w:sz w:val="22"/>
        </w:rPr>
        <w:t>, not a broad commercial services sector issue. The recurring pest control base (~75% of ROL revenue) should benefit from the same constructive demand environment peers are describing.</w:t>
      </w:r>
    </w:p>
    <w:p>
      <w:r>
        <w:rPr>
          <w:rFonts w:ascii="Calibri" w:hAnsi="Calibri"/>
          <w:i/>
          <w:color w:val="525866"/>
          <w:sz w:val="22"/>
        </w:rPr>
        <w:t>Sources: CTAS Q4 FY2026 Earnings Call Transcript (July 15, 2026); ABM Q2 FY2026 Earnings Call Transcript (June 5, 2026); ROL William Blair Growth Stock Conference Transcript (June 3, 2026); ROL Baird Global Consumer, Tech &amp; Services Conference Transcript (June 4, 2026); ROL Investor and Analyst Conference Transcript (May 14,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