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ROP before writing the preview. Let me start by gathering recent earnings materials, guidance, and news.Let me read the most recent earnings call (2026Q1, reported April 2026) and release for guidance context.I have strong context. Now let me get the year-ago Q2 comp, recent stock performance, and analyst expectations.Let me fix the web search and check recent news around the stock's weakness.I now have everything I need. Let me compile a couple of quick calculations before writing.Here is the preview.</w:t>
      </w:r>
    </w:p>
    <w:p>
      <w:r>
        <w:pict>
          <v:rect style="width:0;height:1.5pt" o:hralign="center" o:hrstd="t" o:hr="t"/>
        </w:pict>
      </w:r>
    </w:p>
    <w:bookmarkStart w:id="21" w:name="Xa8e91232f8151bde45e957c08343bcc91724937"/>
    <w:p>
      <w:pPr>
        <w:pStyle w:val="Heading1"/>
      </w:pPr>
      <w:r>
        <w:t xml:space="preserve">Roper Technologies (ROP) — Q2 2026 Earnings Preview</w:t>
      </w:r>
    </w:p>
    <w:bookmarkStart w:id="9" w:name="X26dc0a9da782023e640d83eefeb23f14a0bcce0"/>
    <w:p>
      <w:pPr>
        <w:pStyle w:val="Heading3"/>
      </w:pPr>
      <w:r>
        <w:t xml:space="preserve">Reports Thursday, July 23, 2026 (before open); call at 8:00 AM ET</w:t>
      </w:r>
    </w:p>
    <w:bookmarkEnd w:id="9"/>
    <w:bookmarkStart w:id="10" w:name="the-setup-in-one-line"/>
    <w:p>
      <w:pPr>
        <w:pStyle w:val="Heading2"/>
      </w:pPr>
      <w:r>
        <w:t xml:space="preserve">The Setup in One Line</w:t>
      </w:r>
    </w:p>
    <w:p>
      <w:pPr>
        <w:pStyle w:val="FirstParagraph"/>
      </w:pPr>
      <w:r>
        <w:t xml:space="preserve">Roper heads into Q2 as a "prove-it" quarter: management already told investors Q2 would be the year's</w:t>
      </w:r>
      <w:r>
        <w:t xml:space="preserve"> </w:t>
      </w:r>
      <w:r>
        <w:rPr>
          <w:i/>
          <w:iCs/>
        </w:rPr>
        <w:t xml:space="preserve">softest organic quarter</w:t>
      </w:r>
      <w:r>
        <w:t xml:space="preserve">, the stock has been badly derated (~-22.5% YTD, -7.2% in the two sessions into the print), and the debate has shifted from "is the model durable?" to "is AI a threat or a tailwind to vertical software?" The report itself is likely low-drama on the headline number — the real signal is in bookings, the second-half acceleration narrative, and capital deployment.</w:t>
      </w:r>
    </w:p>
    <w:p>
      <w:r>
        <w:pict>
          <v:rect style="width:0;height:1.5pt" o:hralign="center" o:hrstd="t" o:hr="t"/>
        </w:pict>
      </w:r>
    </w:p>
    <w:bookmarkEnd w:id="10"/>
    <w:bookmarkStart w:id="11" w:name="what-the-numbers-should-look-like"/>
    <w:p>
      <w:pPr>
        <w:pStyle w:val="Heading2"/>
      </w:pPr>
      <w:r>
        <w:t xml:space="preserve">What the Numbers Should Look Like</w:t>
      </w:r>
    </w:p>
    <w:p>
      <w:pPr>
        <w:pStyle w:val="FirstParagraph"/>
      </w:pPr>
      <w:r>
        <w:rPr>
          <w:b/>
          <w:bCs/>
        </w:rPr>
        <w:t xml:space="preserve">Q2 2026 guidance (set April 23):</w:t>
      </w:r>
      <w:r>
        <w:t xml:space="preserve"> </w:t>
      </w:r>
      <w:r>
        <w:t xml:space="preserve">Adjusted DEPS of</w:t>
      </w:r>
      <w:r>
        <w:t xml:space="preserve"> </w:t>
      </w:r>
      <m:oMath>
        <m:r>
          <m:t>5.25</m:t>
        </m:r>
        <m:r>
          <m:rPr>
            <m:sty m:val="p"/>
          </m:rPr>
          <m:t>–</m:t>
        </m:r>
      </m:oMath>
      <w:r>
        <w:rPr>
          <w:b/>
          <w:bCs/>
        </w:rPr>
        <w:t xml:space="preserve">5.30</w:t>
      </w:r>
      <w:r>
        <w:t xml:space="preserve">. Street consensus sits at roughly **</w:t>
      </w:r>
      <w:r>
        <w:t xml:space="preserve">$5.29**, i.e., the top of the range — so a "beat" needs to clear ~$</w:t>
      </w:r>
      <w:r>
        <w:t xml:space="preserve">5.30, and ROP has topped its own guide each of the last several quarters (Q1 came in at $5.16 vs. a</w:t>
      </w:r>
      <w:r>
        <w:t xml:space="preserve"> </w:t>
      </w:r>
      <m:oMath>
        <m:r>
          <m:t>4.95</m:t>
        </m:r>
        <m:r>
          <m:rPr>
            <m:sty m:val="p"/>
          </m:rPr>
          <m:t>–</m:t>
        </m:r>
      </m:oMath>
      <w:r>
        <w:t xml:space="preserve">5.00 guide).</w:t>
      </w:r>
    </w:p>
    <w:p>
      <w:pPr>
        <w:pStyle w:val="BodyText"/>
      </w:pPr>
      <w:r>
        <w:rPr>
          <w:b/>
          <w:bCs/>
        </w:rPr>
        <w:t xml:space="preserve">Year-ago comp (Q2 2025):</w:t>
      </w:r>
    </w:p>
    <w:p>
      <w:pPr>
        <w:pStyle w:val="Compact"/>
        <w:numPr>
          <w:ilvl w:val="0"/>
          <w:numId w:val="1001"/>
        </w:numPr>
      </w:pPr>
      <w:r>
        <w:t xml:space="preserve">Revenue</w:t>
      </w:r>
      <w:r>
        <w:t xml:space="preserve"> </w:t>
      </w:r>
      <w:r>
        <w:rPr>
          <w:b/>
          <w:bCs/>
        </w:rPr>
        <w:t xml:space="preserve">$1.944B</w:t>
      </w:r>
      <w:r>
        <w:t xml:space="preserve">, +13% total /</w:t>
      </w:r>
      <w:r>
        <w:t xml:space="preserve"> </w:t>
      </w:r>
      <w:r>
        <w:rPr>
          <w:b/>
          <w:bCs/>
        </w:rPr>
        <w:t xml:space="preserve">+7% organic</w:t>
      </w:r>
    </w:p>
    <w:p>
      <w:pPr>
        <w:pStyle w:val="Compact"/>
        <w:numPr>
          <w:ilvl w:val="0"/>
          <w:numId w:val="1001"/>
        </w:numPr>
      </w:pPr>
      <w:r>
        <w:t xml:space="preserve">Adjusted EBITDA</w:t>
      </w:r>
      <w:r>
        <w:t xml:space="preserve"> </w:t>
      </w:r>
      <w:r>
        <w:rPr>
          <w:b/>
          <w:bCs/>
        </w:rPr>
        <w:t xml:space="preserve">$775M</w:t>
      </w:r>
      <w:r>
        <w:t xml:space="preserve">, 39.9% margin</w:t>
      </w:r>
    </w:p>
    <w:p>
      <w:pPr>
        <w:pStyle w:val="Compact"/>
        <w:numPr>
          <w:ilvl w:val="0"/>
          <w:numId w:val="1001"/>
        </w:numPr>
      </w:pPr>
      <w:r>
        <w:t xml:space="preserve">Adjusted DEPS</w:t>
      </w:r>
      <w:r>
        <w:t xml:space="preserve"> </w:t>
      </w:r>
      <w:r>
        <w:rPr>
          <w:b/>
          <w:bCs/>
        </w:rPr>
        <w:t xml:space="preserve">$4.87</w:t>
      </w:r>
    </w:p>
    <w:p>
      <w:pPr>
        <w:pStyle w:val="FirstParagraph"/>
      </w:pPr>
      <w:r>
        <w:t xml:space="preserve">The $5.275 midpoint implies ~8% DEPS growth. Note the growth is increasingly</w:t>
      </w:r>
      <w:r>
        <w:t xml:space="preserve"> </w:t>
      </w:r>
      <w:r>
        <w:rPr>
          <w:i/>
          <w:iCs/>
        </w:rPr>
        <w:t xml:space="preserve">share-count-driven</w:t>
      </w:r>
      <w:r>
        <w:t xml:space="preserve">: EPS growth (~8%) is running ahead of EBITDA growth (~8% in Q1 but with core margins down) thanks to aggressive buybacks (share count exited Q1 at 102.4M vs. ~108M diluted a year ago).</w:t>
      </w:r>
    </w:p>
    <w:p>
      <w:pPr>
        <w:pStyle w:val="BodyText"/>
      </w:pPr>
      <w:r>
        <w:rPr>
          <w:b/>
          <w:bCs/>
        </w:rPr>
        <w:t xml:space="preserve">Why Q2 is the trough quarter (management flagged all of this):</w:t>
      </w:r>
    </w:p>
    <w:p>
      <w:pPr>
        <w:pStyle w:val="Compact"/>
        <w:numPr>
          <w:ilvl w:val="0"/>
          <w:numId w:val="1002"/>
        </w:numPr>
      </w:pPr>
      <w:r>
        <w:rPr>
          <w:b/>
          <w:bCs/>
        </w:rPr>
        <w:t xml:space="preserve">Application Software:</w:t>
      </w:r>
      <w:r>
        <w:t xml:space="preserve"> </w:t>
      </w:r>
      <w:r>
        <w:t xml:space="preserve">organic decelerates sequentially on</w:t>
      </w:r>
      <w:r>
        <w:t xml:space="preserve"> </w:t>
      </w:r>
      <w:r>
        <w:rPr>
          <w:i/>
          <w:iCs/>
        </w:rPr>
        <w:t xml:space="preserve">nonrecurring/perpetual license timing</w:t>
      </w:r>
      <w:r>
        <w:t xml:space="preserve"> </w:t>
      </w:r>
      <w:r>
        <w:t xml:space="preserve">— this is timing, not demand.</w:t>
      </w:r>
    </w:p>
    <w:p>
      <w:pPr>
        <w:pStyle w:val="Compact"/>
        <w:numPr>
          <w:ilvl w:val="0"/>
          <w:numId w:val="1002"/>
        </w:numPr>
      </w:pPr>
      <w:r>
        <w:rPr>
          <w:b/>
          <w:bCs/>
        </w:rPr>
        <w:t xml:space="preserve">Technology-Enabled Products:</w:t>
      </w:r>
      <w:r>
        <w:t xml:space="preserve"> </w:t>
      </w:r>
      <w:r>
        <w:t xml:space="preserve">laps a</w:t>
      </w:r>
      <w:r>
        <w:t xml:space="preserve"> </w:t>
      </w:r>
      <w:r>
        <w:rPr>
          <w:b/>
          <w:bCs/>
        </w:rPr>
        <w:t xml:space="preserve">9% organic Q2 2025</w:t>
      </w:r>
      <w:r>
        <w:t xml:space="preserve"> </w:t>
      </w:r>
      <w:r>
        <w:t xml:space="preserve">high-water comp, plus continued raw-material (bronze ingot) pressure at Neptune.</w:t>
      </w:r>
    </w:p>
    <w:p>
      <w:pPr>
        <w:pStyle w:val="Compact"/>
        <w:numPr>
          <w:ilvl w:val="0"/>
          <w:numId w:val="1002"/>
        </w:numPr>
      </w:pPr>
      <w:r>
        <w:t xml:space="preserve">The company expects organic growth to</w:t>
      </w:r>
      <w:r>
        <w:t xml:space="preserve"> </w:t>
      </w:r>
      <w:r>
        <w:rPr>
          <w:b/>
          <w:bCs/>
        </w:rPr>
        <w:t xml:space="preserve">re-accelerate in the back half</w:t>
      </w:r>
      <w:r>
        <w:t xml:space="preserve"> </w:t>
      </w:r>
      <w:r>
        <w:t xml:space="preserve">as CentralReach and Subsplash turn organic and TEP/AS comps ease.</w:t>
      </w:r>
    </w:p>
    <w:p>
      <w:pPr>
        <w:pStyle w:val="FirstParagraph"/>
      </w:pPr>
      <w:r>
        <w:rPr>
          <w:b/>
          <w:bCs/>
        </w:rPr>
        <w:t xml:space="preserve">Bottom line:</w:t>
      </w:r>
      <w:r>
        <w:t xml:space="preserve"> </w:t>
      </w:r>
      <w:r>
        <w:t xml:space="preserve">don't be spooked by a low-single-digit organic print in TEP or a step-down in AS organic — it's pre-announced. Judge the quarter on recurring software revenue (was +7% in Q1) and bookings.</w:t>
      </w:r>
    </w:p>
    <w:p>
      <w:r>
        <w:pict>
          <v:rect style="width:0;height:1.5pt" o:hralign="center" o:hrstd="t" o:hr="t"/>
        </w:pict>
      </w:r>
    </w:p>
    <w:bookmarkEnd w:id="11"/>
    <w:bookmarkStart w:id="17" w:name="the-five-things-that-actually-matter"/>
    <w:p>
      <w:pPr>
        <w:pStyle w:val="Heading2"/>
      </w:pPr>
      <w:r>
        <w:t xml:space="preserve">The Five Things That Actually Matter</w:t>
      </w:r>
    </w:p>
    <w:bookmarkStart w:id="12" w:name="X8bd6a20159f9214d41076c7bee298819f02dcff"/>
    <w:p>
      <w:pPr>
        <w:pStyle w:val="Heading3"/>
      </w:pPr>
      <w:r>
        <w:t xml:space="preserve">1. Enterprise software bookings &amp; retention</w:t>
      </w:r>
    </w:p>
    <w:p>
      <w:pPr>
        <w:pStyle w:val="FirstParagraph"/>
      </w:pPr>
      <w:r>
        <w:t xml:space="preserve">This is management's stated "best indicator of business health." Q1 showed gross retention in the</w:t>
      </w:r>
      <w:r>
        <w:t xml:space="preserve"> </w:t>
      </w:r>
      <w:r>
        <w:rPr>
          <w:b/>
          <w:bCs/>
        </w:rPr>
        <w:t xml:space="preserve">mid-90s</w:t>
      </w:r>
      <w:r>
        <w:t xml:space="preserve"> </w:t>
      </w:r>
      <w:r>
        <w:t xml:space="preserve">and core enterprise bookings up</w:t>
      </w:r>
      <w:r>
        <w:t xml:space="preserve"> </w:t>
      </w:r>
      <w:r>
        <w:rPr>
          <w:b/>
          <w:bCs/>
        </w:rPr>
        <w:t xml:space="preserve">low-double-digits on a TTM basis</w:t>
      </w:r>
      <w:r>
        <w:t xml:space="preserve"> </w:t>
      </w:r>
      <w:r>
        <w:t xml:space="preserve">(above that in the quarter itself). A continuation here is what underwrites the second-half acceleration and any full-year guide raise. Watch this above all else.</w:t>
      </w:r>
    </w:p>
    <w:bookmarkEnd w:id="12"/>
    <w:bookmarkStart w:id="13" w:name="X342061deb51c4ec70421b37f3a45521bbe9af40"/>
    <w:p>
      <w:pPr>
        <w:pStyle w:val="Heading3"/>
      </w:pPr>
      <w:r>
        <w:t xml:space="preserve">2. Full-year guide — raise or hold?</w:t>
      </w:r>
    </w:p>
    <w:p>
      <w:pPr>
        <w:pStyle w:val="FirstParagraph"/>
      </w:pPr>
      <w:r>
        <w:t xml:space="preserve">FY26 adjusted DEPS was raised in April to</w:t>
      </w:r>
      <w:r>
        <w:t xml:space="preserve"> </w:t>
      </w:r>
      <m:oMath>
        <m:r>
          <m:t>21.80</m:t>
        </m:r>
        <m:r>
          <m:rPr>
            <m:sty m:val="p"/>
          </m:rPr>
          <m:t>–</m:t>
        </m:r>
      </m:oMath>
      <w:r>
        <w:rPr>
          <w:b/>
          <w:bCs/>
        </w:rPr>
        <w:t xml:space="preserve">22.05</w:t>
      </w:r>
      <w:r>
        <w:t xml:space="preserve"> </w:t>
      </w:r>
      <w:r>
        <w:t xml:space="preserve">(up $0.50 at the midpoint), with total revenue growth of</w:t>
      </w:r>
      <w:r>
        <w:t xml:space="preserve"> </w:t>
      </w:r>
      <w:r>
        <w:rPr>
          <w:b/>
          <w:bCs/>
        </w:rPr>
        <w:t xml:space="preserve">~8%</w:t>
      </w:r>
      <w:r>
        <w:t xml:space="preserve"> </w:t>
      </w:r>
      <w:r>
        <w:t xml:space="preserve">and organic of</w:t>
      </w:r>
      <w:r>
        <w:t xml:space="preserve"> </w:t>
      </w:r>
      <w:r>
        <w:rPr>
          <w:b/>
          <w:bCs/>
        </w:rPr>
        <w:t xml:space="preserve">+5–6%</w:t>
      </w:r>
      <w:r>
        <w:t xml:space="preserve"> </w:t>
      </w:r>
      <w:r>
        <w:t xml:space="preserve">maintained. The Q1 raise was almost entirely a pass-through of the Q1 beat plus already-executed buybacks —</w:t>
      </w:r>
      <w:r>
        <w:t xml:space="preserve"> </w:t>
      </w:r>
      <w:r>
        <w:rPr>
          <w:i/>
          <w:iCs/>
        </w:rPr>
        <w:t xml:space="preserve">not</w:t>
      </w:r>
      <w:r>
        <w:t xml:space="preserve"> </w:t>
      </w:r>
      <w:r>
        <w:t xml:space="preserve">a change in operating assumptions. Key question: does another beat get passed through again, and do they finally lift the organic range given the strong bookings? A hold on organic despite good bookings is the "conservatism" pattern the market has learned to expect.</w:t>
      </w:r>
    </w:p>
    <w:bookmarkEnd w:id="13"/>
    <w:bookmarkStart w:id="14" w:name="X861a1027962b19e0e5c17a4a4c23dad47d6e8bd"/>
    <w:p>
      <w:pPr>
        <w:pStyle w:val="Heading3"/>
      </w:pPr>
      <w:r>
        <w:t xml:space="preserve">3. The two macro overhangs — any inflection?</w:t>
      </w:r>
    </w:p>
    <w:p>
      <w:pPr>
        <w:pStyle w:val="FirstParagraph"/>
      </w:pPr>
      <w:r>
        <w:t xml:space="preserve">Both are explicitly</w:t>
      </w:r>
      <w:r>
        <w:t xml:space="preserve"> </w:t>
      </w:r>
      <w:r>
        <w:rPr>
          <w:b/>
          <w:bCs/>
        </w:rPr>
        <w:t xml:space="preserve">excluded</w:t>
      </w:r>
      <w:r>
        <w:t xml:space="preserve"> </w:t>
      </w:r>
      <w:r>
        <w:t xml:space="preserve">from guidance, so any improvement is upside:</w:t>
      </w:r>
    </w:p>
    <w:p>
      <w:pPr>
        <w:pStyle w:val="Compact"/>
        <w:numPr>
          <w:ilvl w:val="0"/>
          <w:numId w:val="1003"/>
        </w:numPr>
      </w:pPr>
      <w:r>
        <w:rPr>
          <w:b/>
          <w:bCs/>
        </w:rPr>
        <w:t xml:space="preserve">Deltek / GovCon:</w:t>
      </w:r>
      <w:r>
        <w:t xml:space="preserve"> </w:t>
      </w:r>
      <w:r>
        <w:t xml:space="preserve">still awaiting an inflection amid federal procurement disruption and budget uncertainty; the "One Big Beautiful Bill" is a longer-dated positive that only helps once customers win awards. Private-sector Deltek and SaaS conversions are healthy.</w:t>
      </w:r>
    </w:p>
    <w:p>
      <w:pPr>
        <w:pStyle w:val="Compact"/>
        <w:numPr>
          <w:ilvl w:val="0"/>
          <w:numId w:val="1003"/>
        </w:numPr>
      </w:pPr>
      <w:r>
        <w:rPr>
          <w:b/>
          <w:bCs/>
        </w:rPr>
        <w:t xml:space="preserve">DAT / freight:</w:t>
      </w:r>
      <w:r>
        <w:t xml:space="preserve"> </w:t>
      </w:r>
      <w:r>
        <w:t xml:space="preserve">genuine</w:t>
      </w:r>
      <w:r>
        <w:t xml:space="preserve"> </w:t>
      </w:r>
      <w:r>
        <w:rPr>
          <w:b/>
          <w:bCs/>
        </w:rPr>
        <w:t xml:space="preserve">green shoots</w:t>
      </w:r>
      <w:r>
        <w:t xml:space="preserve"> </w:t>
      </w:r>
      <w:r>
        <w:t xml:space="preserve">— spot rates +20–30% y/y and carrier count grew for the first time in years — but a diesel spike hurt carrier margins, and management underwrites</w:t>
      </w:r>
      <w:r>
        <w:t xml:space="preserve"> </w:t>
      </w:r>
      <w:r>
        <w:rPr>
          <w:b/>
          <w:bCs/>
        </w:rPr>
        <w:t xml:space="preserve">no freight recovery</w:t>
      </w:r>
      <w:r>
        <w:t xml:space="preserve">. Any durable carrier-side turn would be a meaningful positive.</w:t>
      </w:r>
    </w:p>
    <w:bookmarkEnd w:id="14"/>
    <w:bookmarkStart w:id="15" w:name="X586432baed9ddfd31d7cf6e250a68e8f7117eee"/>
    <w:p>
      <w:pPr>
        <w:pStyle w:val="Heading3"/>
      </w:pPr>
      <w:r>
        <w:t xml:space="preserve">4. AI — threat narrative vs. proof points</w:t>
      </w:r>
    </w:p>
    <w:p>
      <w:pPr>
        <w:pStyle w:val="FirstParagraph"/>
      </w:pPr>
      <w:r>
        <w:t xml:space="preserve">This is now the central bull/bear debate and a likely Q&amp;A focus. Roper's counter is its own portfolio:</w:t>
      </w:r>
      <w:r>
        <w:t xml:space="preserve"> </w:t>
      </w:r>
      <w:r>
        <w:rPr>
          <w:b/>
          <w:bCs/>
        </w:rPr>
        <w:t xml:space="preserve">CentralReach</w:t>
      </w:r>
      <w:r>
        <w:t xml:space="preserve"> </w:t>
      </w:r>
      <w:r>
        <w:t xml:space="preserve">(AI/AI-influenced bookings were ~75% of new business, up from zero two years ago),</w:t>
      </w:r>
      <w:r>
        <w:t xml:space="preserve"> </w:t>
      </w:r>
      <w:r>
        <w:rPr>
          <w:b/>
          <w:bCs/>
        </w:rPr>
        <w:t xml:space="preserve">Aderant</w:t>
      </w:r>
      <w:r>
        <w:t xml:space="preserve"> </w:t>
      </w:r>
      <w:r>
        <w:t xml:space="preserve">(record legal-tech quarter),</w:t>
      </w:r>
      <w:r>
        <w:t xml:space="preserve"> </w:t>
      </w:r>
      <w:r>
        <w:rPr>
          <w:b/>
          <w:bCs/>
        </w:rPr>
        <w:t xml:space="preserve">Vertafore's</w:t>
      </w:r>
      <w:r>
        <w:t xml:space="preserve"> </w:t>
      </w:r>
      <w:r>
        <w:t xml:space="preserve">new Velocity AI platform,</w:t>
      </w:r>
      <w:r>
        <w:t xml:space="preserve"> </w:t>
      </w:r>
      <w:r>
        <w:rPr>
          <w:b/>
          <w:bCs/>
        </w:rPr>
        <w:t xml:space="preserve">ConstructConnect</w:t>
      </w:r>
      <w:r>
        <w:t xml:space="preserve"> </w:t>
      </w:r>
      <w:r>
        <w:t xml:space="preserve">(shipping ~4x features via agentic coding), and</w:t>
      </w:r>
      <w:r>
        <w:t xml:space="preserve"> </w:t>
      </w:r>
      <w:r>
        <w:rPr>
          <w:b/>
          <w:bCs/>
        </w:rPr>
        <w:t xml:space="preserve">DAT/Convoy</w:t>
      </w:r>
      <w:r>
        <w:t xml:space="preserve">. Management insists it's seen</w:t>
      </w:r>
      <w:r>
        <w:t xml:space="preserve"> </w:t>
      </w:r>
      <w:r>
        <w:rPr>
          <w:i/>
          <w:iCs/>
        </w:rPr>
        <w:t xml:space="preserve">no</w:t>
      </w:r>
      <w:r>
        <w:t xml:space="preserve"> </w:t>
      </w:r>
      <w:r>
        <w:t xml:space="preserve">budget cannibalization in AI-heavy verticals like legal and healthcare. Watch for: fresh monetization detail (subscription + usage-based overage model), more AI-accelerator-team partnerships (was 1 → 6 businesses), and whether AI is starting to move the organic growth needle.</w:t>
      </w:r>
    </w:p>
    <w:bookmarkEnd w:id="15"/>
    <w:bookmarkStart w:id="16" w:name="X3bd10c000d515e69ff4093ccb6cc15c1d8bbf72"/>
    <w:p>
      <w:pPr>
        <w:pStyle w:val="Heading3"/>
      </w:pPr>
      <w:r>
        <w:t xml:space="preserve">5. Capital deployment &amp; M&amp;A</w:t>
      </w:r>
    </w:p>
    <w:p>
      <w:pPr>
        <w:pStyle w:val="FirstParagraph"/>
      </w:pPr>
      <w:r>
        <w:t xml:space="preserve">The differentiated story. Post-Q1: ~</w:t>
      </w:r>
      <m:oMath>
        <m:r>
          <m:t>3.8</m:t>
        </m:r>
        <m:r>
          <m:t>B</m:t>
        </m:r>
        <m:r>
          <m:t>o</m:t>
        </m:r>
        <m:r>
          <m:t>f</m:t>
        </m:r>
        <m:r>
          <m:t>b</m:t>
        </m:r>
        <m:r>
          <m:t>u</m:t>
        </m:r>
        <m:r>
          <m:t>y</m:t>
        </m:r>
        <m:r>
          <m:t>b</m:t>
        </m:r>
        <m:r>
          <m:t>a</m:t>
        </m:r>
        <m:r>
          <m:t>c</m:t>
        </m:r>
        <m:r>
          <m:t>k</m:t>
        </m:r>
        <m:r>
          <m:t>a</m:t>
        </m:r>
        <m:r>
          <m:t>u</m:t>
        </m:r>
        <m:r>
          <m:t>t</m:t>
        </m:r>
        <m:r>
          <m:t>h</m:t>
        </m:r>
        <m:r>
          <m:t>o</m:t>
        </m:r>
        <m:r>
          <m:t>r</m:t>
        </m:r>
        <m:r>
          <m:t>i</m:t>
        </m:r>
        <m:r>
          <m:t>z</m:t>
        </m:r>
        <m:r>
          <m:t>a</m:t>
        </m:r>
        <m:r>
          <m:t>t</m:t>
        </m:r>
        <m:r>
          <m:t>i</m:t>
        </m:r>
        <m:r>
          <m:t>o</m:t>
        </m:r>
        <m:r>
          <m:t>n</m:t>
        </m:r>
        <m:r>
          <m:t>r</m:t>
        </m:r>
        <m:r>
          <m:t>e</m:t>
        </m:r>
        <m:r>
          <m:t>m</m:t>
        </m:r>
        <m:r>
          <m:t>a</m:t>
        </m:r>
        <m:r>
          <m:t>i</m:t>
        </m:r>
        <m:r>
          <m:t>n</m:t>
        </m:r>
        <m:r>
          <m:t>i</m:t>
        </m:r>
        <m:r>
          <m:t>n</m:t>
        </m:r>
        <m:r>
          <m:t>g</m:t>
        </m:r>
        <m:r>
          <m:rPr>
            <m:sty m:val="p"/>
          </m:rPr>
          <m:t>,</m:t>
        </m:r>
        <m:r>
          <m:rPr>
            <m:sty m:val="p"/>
          </m:rPr>
          <m:t>*</m:t>
        </m:r>
        <m:r>
          <m:rPr>
            <m:sty m:val="p"/>
          </m:rPr>
          <m:t>*</m:t>
        </m:r>
        <m:r>
          <m:rPr>
            <m:sty m:val="p"/>
          </m:rPr>
          <m:t>&gt;</m:t>
        </m:r>
      </m:oMath>
      <w:r>
        <w:t xml:space="preserve">5B of deployment firepower** over 12 months, net debt/EBITDA at 3.1x. Roper bought back ~6M shares/$2.2B since November — back to a share count last seen in 2017. On M&amp;A, management said the public-software drawdown caused sellers to</w:t>
      </w:r>
      <w:r>
        <w:t xml:space="preserve"> </w:t>
      </w:r>
      <w:r>
        <w:rPr>
          <w:i/>
          <w:iCs/>
        </w:rPr>
        <w:t xml:space="preserve">pause</w:t>
      </w:r>
      <w:r>
        <w:t xml:space="preserve"> </w:t>
      </w:r>
      <w:r>
        <w:t xml:space="preserve">processes, so the near-term pipeline leaned more proprietary, but a constrained private-credit market and LP pressure should eventually surface high-quality assets at better prices. Watch for: any signed deal, updated pipeline commentary, and the buyback-vs.-M&amp;A tilt (they remain "unbiased" between the two).</w:t>
      </w:r>
    </w:p>
    <w:p>
      <w:r>
        <w:pict>
          <v:rect style="width:0;height:1.5pt" o:hralign="center" o:hrstd="t" o:hr="t"/>
        </w:pict>
      </w:r>
    </w:p>
    <w:bookmarkEnd w:id="16"/>
    <w:bookmarkEnd w:id="17"/>
    <w:bookmarkStart w:id="18" w:name="margins-to-watch"/>
    <w:p>
      <w:pPr>
        <w:pStyle w:val="Heading2"/>
      </w:pPr>
      <w:r>
        <w:t xml:space="preserve">Margins to Watch</w:t>
      </w:r>
    </w:p>
    <w:p>
      <w:pPr>
        <w:pStyle w:val="FirstParagraph"/>
      </w:pPr>
      <w:r>
        <w:t xml:space="preserve">Core EBITDA margin was</w:t>
      </w:r>
      <w:r>
        <w:t xml:space="preserve"> </w:t>
      </w:r>
      <w:r>
        <w:rPr>
          <w:b/>
          <w:bCs/>
        </w:rPr>
        <w:t xml:space="preserve">down ~70 bps in Q1</w:t>
      </w:r>
      <w:r>
        <w:t xml:space="preserve">, entirely on the TEP side:</w:t>
      </w:r>
    </w:p>
    <w:p>
      <w:pPr>
        <w:pStyle w:val="Compact"/>
        <w:numPr>
          <w:ilvl w:val="0"/>
          <w:numId w:val="1004"/>
        </w:numPr>
      </w:pPr>
      <w:r>
        <w:rPr>
          <w:b/>
          <w:bCs/>
        </w:rPr>
        <w:t xml:space="preserve">Neptune:</w:t>
      </w:r>
      <w:r>
        <w:t xml:space="preserve"> </w:t>
      </w:r>
      <w:r>
        <w:t xml:space="preserve">bronze/ingot input-cost inflation, being recovered via regular-way price increases (a multi-quarter lag) rather than surcharges.</w:t>
      </w:r>
    </w:p>
    <w:p>
      <w:pPr>
        <w:pStyle w:val="Compact"/>
        <w:numPr>
          <w:ilvl w:val="0"/>
          <w:numId w:val="1004"/>
        </w:numPr>
      </w:pPr>
      <w:r>
        <w:rPr>
          <w:b/>
          <w:bCs/>
        </w:rPr>
        <w:t xml:space="preserve">NDI / Verathon:</w:t>
      </w:r>
      <w:r>
        <w:t xml:space="preserve"> </w:t>
      </w:r>
      <w:r>
        <w:t xml:space="preserve">favorable</w:t>
      </w:r>
      <w:r>
        <w:t xml:space="preserve"> </w:t>
      </w:r>
      <w:r>
        <w:rPr>
          <w:i/>
          <w:iCs/>
        </w:rPr>
        <w:t xml:space="preserve">mix shift toward consumables</w:t>
      </w:r>
      <w:r>
        <w:t xml:space="preserve"> </w:t>
      </w:r>
      <w:r>
        <w:t xml:space="preserve">— lower gross margin % but more durable recurring revenue (a good-news headwind).</w:t>
      </w:r>
    </w:p>
    <w:p>
      <w:pPr>
        <w:pStyle w:val="Compact"/>
        <w:numPr>
          <w:ilvl w:val="0"/>
          <w:numId w:val="1004"/>
        </w:numPr>
      </w:pPr>
      <w:r>
        <w:rPr>
          <w:b/>
          <w:bCs/>
        </w:rPr>
        <w:t xml:space="preserve">Network Software</w:t>
      </w:r>
      <w:r>
        <w:t xml:space="preserve"> </w:t>
      </w:r>
      <w:r>
        <w:t xml:space="preserve">margins carry dilution from Subsplash (lower-margin, faster-growing) and continued Convoy investment.</w:t>
      </w:r>
      <w:r>
        <w:t xml:space="preserve"> </w:t>
      </w:r>
      <w:r>
        <w:t xml:space="preserve">Software core margins actually</w:t>
      </w:r>
      <w:r>
        <w:t xml:space="preserve"> </w:t>
      </w:r>
      <w:r>
        <w:rPr>
          <w:i/>
          <w:iCs/>
        </w:rPr>
        <w:t xml:space="preserve">expanded</w:t>
      </w:r>
      <w:r>
        <w:t xml:space="preserve"> </w:t>
      </w:r>
      <w:r>
        <w:t xml:space="preserve">(~40 bps in AS) even while funding AI. The question is whether TEP margin pressure eases as guided into the back half.</w:t>
      </w:r>
    </w:p>
    <w:p>
      <w:r>
        <w:pict>
          <v:rect style="width:0;height:1.5pt" o:hralign="center" o:hrstd="t" o:hr="t"/>
        </w:pict>
      </w:r>
    </w:p>
    <w:bookmarkEnd w:id="18"/>
    <w:bookmarkStart w:id="19" w:name="the-stock--positioning-angle"/>
    <w:p>
      <w:pPr>
        <w:pStyle w:val="Heading2"/>
      </w:pPr>
      <w:r>
        <w:t xml:space="preserve">The Stock / Positioning Angle</w:t>
      </w:r>
    </w:p>
    <w:p>
      <w:pPr>
        <w:pStyle w:val="FirstParagraph"/>
      </w:pPr>
      <w:r>
        <w:t xml:space="preserve">This is arguably the most interesting part of the setup. ROP has</w:t>
      </w:r>
      <w:r>
        <w:t xml:space="preserve"> </w:t>
      </w:r>
      <w:r>
        <w:rPr>
          <w:b/>
          <w:bCs/>
        </w:rPr>
        <w:t xml:space="preserve">derated hard</w:t>
      </w:r>
      <w:r>
        <w:t xml:space="preserve">: shares fell sharply on the January FY26 guide (organic of only 5–6% and decelerating DEPS growth vs. history spooked the market) and have kept sliding — roughly</w:t>
      </w:r>
      <w:r>
        <w:t xml:space="preserve"> </w:t>
      </w:r>
      <w:r>
        <w:rPr>
          <w:b/>
          <w:bCs/>
        </w:rPr>
        <w:t xml:space="preserve">-22% YTD</w:t>
      </w:r>
      <w:r>
        <w:t xml:space="preserve"> </w:t>
      </w:r>
      <w:r>
        <w:t xml:space="preserve">and down ~7% in the two days into the print, closing around</w:t>
      </w:r>
      <w:r>
        <w:t xml:space="preserve"> </w:t>
      </w:r>
      <w:r>
        <w:rPr>
          <w:b/>
          <w:bCs/>
        </w:rPr>
        <w:t xml:space="preserve">$336.75</w:t>
      </w:r>
      <w:r>
        <w:t xml:space="preserve"> </w:t>
      </w:r>
      <w:r>
        <w:t xml:space="preserve">on July 22.</w:t>
      </w:r>
    </w:p>
    <w:p>
      <w:pPr>
        <w:pStyle w:val="BodyText"/>
      </w:pPr>
      <w:r>
        <w:t xml:space="preserve">On the FY26 guide of</w:t>
      </w:r>
      <w:r>
        <w:t xml:space="preserve"> </w:t>
      </w:r>
      <m:oMath>
        <m:r>
          <m:t>21.80</m:t>
        </m:r>
        <m:r>
          <m:rPr>
            <m:sty m:val="p"/>
          </m:rPr>
          <m:t>–</m:t>
        </m:r>
      </m:oMath>
      <w:r>
        <w:t xml:space="preserve">22.05, that's a forward P/E of only</w:t>
      </w:r>
      <w:r>
        <w:t xml:space="preserve"> </w:t>
      </w:r>
      <w:r>
        <w:rPr>
          <w:b/>
          <w:bCs/>
        </w:rPr>
        <w:t xml:space="preserve">~15x adjusted EPS</w:t>
      </w:r>
      <w:r>
        <w:t xml:space="preserve"> </w:t>
      </w:r>
      <w:r>
        <w:t xml:space="preserve">— a striking compression for a business that has historically commanded a large premium multiple. The implication: expectations are low, the AI-disruption fear is at least partly priced in, and the bar to clear on July 23 is modest. A clean quarter with strong bookings, a reiterated/raised guide, and a confident AI message could be a positive surprise relative to depressed sentiment; conversely, any bookings wobble or a cut to the organic outlook would validate the bears.</w:t>
      </w:r>
    </w:p>
    <w:p>
      <w:r>
        <w:pict>
          <v:rect style="width:0;height:1.5pt" o:hralign="center" o:hrstd="t" o:hr="t"/>
        </w:pict>
      </w:r>
    </w:p>
    <w:bookmarkEnd w:id="19"/>
    <w:bookmarkStart w:id="20" w:name="quick-scorecard-for-the-print"/>
    <w:p>
      <w:pPr>
        <w:pStyle w:val="Heading2"/>
      </w:pPr>
      <w:r>
        <w:t xml:space="preserve">Quick Scorecard for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Guide / Comp</w:t>
            </w:r>
          </w:p>
        </w:tc>
        <w:tc>
          <w:tcPr/>
          <w:p>
            <w:pPr>
              <w:pStyle w:val="Compact"/>
            </w:pPr>
            <w:r>
              <w:t xml:space="preserve">Bull signal</w:t>
            </w:r>
          </w:p>
        </w:tc>
      </w:tr>
      <w:tr>
        <w:tc>
          <w:tcPr/>
          <w:p>
            <w:pPr>
              <w:pStyle w:val="Compact"/>
            </w:pPr>
            <w:r>
              <w:t xml:space="preserve">Adjusted DEPS</w:t>
            </w:r>
          </w:p>
        </w:tc>
        <w:tc>
          <w:tcPr/>
          <w:p>
            <w:pPr>
              <w:pStyle w:val="Compact"/>
            </w:pPr>
            <w:r>
              <w:t xml:space="preserve">Guide</w:t>
            </w:r>
            <w:r>
              <w:t xml:space="preserve"> </w:t>
            </w:r>
            <m:oMath>
              <m:r>
                <m:t>5.25</m:t>
              </m:r>
              <m:r>
                <m:rPr>
                  <m:sty m:val="p"/>
                </m:rPr>
                <m:t>–</m:t>
              </m:r>
            </m:oMath>
            <w:r>
              <w:t xml:space="preserve">5.30; cons. ~$5.29</w:t>
            </w:r>
          </w:p>
        </w:tc>
        <w:tc>
          <w:tcPr/>
          <w:p>
            <w:pPr>
              <w:pStyle w:val="Compact"/>
            </w:pPr>
            <w:r>
              <w:t xml:space="preserve">Beat &gt;$5.30</w:t>
            </w:r>
          </w:p>
        </w:tc>
      </w:tr>
      <w:tr>
        <w:tc>
          <w:tcPr/>
          <w:p>
            <w:pPr>
              <w:pStyle w:val="Compact"/>
            </w:pPr>
            <w:r>
              <w:t xml:space="preserve">Organic growth</w:t>
            </w:r>
          </w:p>
        </w:tc>
        <w:tc>
          <w:tcPr/>
          <w:p>
            <w:pPr>
              <w:pStyle w:val="Compact"/>
            </w:pPr>
            <w:r>
              <w:t xml:space="preserve">Pre-flagged as year's low</w:t>
            </w:r>
          </w:p>
        </w:tc>
        <w:tc>
          <w:tcPr/>
          <w:p>
            <w:pPr>
              <w:pStyle w:val="Compact"/>
            </w:pPr>
            <w:r>
              <w:t xml:space="preserve">Holds mid-single-digit+ despite tough comps</w:t>
            </w:r>
          </w:p>
        </w:tc>
      </w:tr>
      <w:tr>
        <w:tc>
          <w:tcPr/>
          <w:p>
            <w:pPr>
              <w:pStyle w:val="Compact"/>
            </w:pPr>
            <w:r>
              <w:t xml:space="preserve">Recurring SW revenue</w:t>
            </w:r>
          </w:p>
        </w:tc>
        <w:tc>
          <w:tcPr/>
          <w:p>
            <w:pPr>
              <w:pStyle w:val="Compact"/>
            </w:pPr>
            <w:r>
              <w:t xml:space="preserve">+7% in Q1</w:t>
            </w:r>
          </w:p>
        </w:tc>
        <w:tc>
          <w:tcPr/>
          <w:p>
            <w:pPr>
              <w:pStyle w:val="Compact"/>
            </w:pPr>
            <w:r>
              <w:t xml:space="preserve">Sustains ~7%</w:t>
            </w:r>
          </w:p>
        </w:tc>
      </w:tr>
      <w:tr>
        <w:tc>
          <w:tcPr/>
          <w:p>
            <w:pPr>
              <w:pStyle w:val="Compact"/>
            </w:pPr>
            <w:r>
              <w:t xml:space="preserve">Bookings/retention</w:t>
            </w:r>
          </w:p>
        </w:tc>
        <w:tc>
          <w:tcPr/>
          <w:p>
            <w:pPr>
              <w:pStyle w:val="Compact"/>
            </w:pPr>
            <w:r>
              <w:t xml:space="preserve">TTM low-double-digit / mid-90s</w:t>
            </w:r>
          </w:p>
        </w:tc>
        <w:tc>
          <w:tcPr/>
          <w:p>
            <w:pPr>
              <w:pStyle w:val="Compact"/>
            </w:pPr>
            <w:r>
              <w:t xml:space="preserve">Continued strength</w:t>
            </w:r>
          </w:p>
        </w:tc>
      </w:tr>
      <w:tr>
        <w:tc>
          <w:tcPr/>
          <w:p>
            <w:pPr>
              <w:pStyle w:val="Compact"/>
            </w:pPr>
            <w:r>
              <w:t xml:space="preserve">FY26 guide</w:t>
            </w:r>
          </w:p>
        </w:tc>
        <w:tc>
          <w:tcPr/>
          <w:p>
            <w:pPr>
              <w:pStyle w:val="Compact"/>
            </w:pPr>
            <m:oMath>
              <m:r>
                <m:t>21.80</m:t>
              </m:r>
              <m:r>
                <m:rPr>
                  <m:sty m:val="p"/>
                </m:rPr>
                <m:t>–</m:t>
              </m:r>
            </m:oMath>
            <w:r>
              <w:t xml:space="preserve">22.05</w:t>
            </w:r>
          </w:p>
        </w:tc>
        <w:tc>
          <w:tcPr/>
          <w:p>
            <w:pPr>
              <w:pStyle w:val="Compact"/>
            </w:pPr>
            <w:r>
              <w:t xml:space="preserve">Raise, especially on</w:t>
            </w:r>
            <w:r>
              <w:t xml:space="preserve"> </w:t>
            </w:r>
            <w:r>
              <w:rPr>
                <w:i/>
                <w:iCs/>
              </w:rPr>
              <w:t xml:space="preserve">organic</w:t>
            </w:r>
          </w:p>
        </w:tc>
      </w:tr>
      <w:tr>
        <w:tc>
          <w:tcPr/>
          <w:p>
            <w:pPr>
              <w:pStyle w:val="Compact"/>
            </w:pPr>
            <w:r>
              <w:t xml:space="preserve">GovCon / freight</w:t>
            </w:r>
          </w:p>
        </w:tc>
        <w:tc>
          <w:tcPr/>
          <w:p>
            <w:pPr>
              <w:pStyle w:val="Compact"/>
            </w:pPr>
            <w:r>
              <w:t xml:space="preserve">Excluded from guide</w:t>
            </w:r>
          </w:p>
        </w:tc>
        <w:tc>
          <w:tcPr/>
          <w:p>
            <w:pPr>
              <w:pStyle w:val="Compact"/>
            </w:pPr>
            <w:r>
              <w:t xml:space="preserve">Any inflection = upside</w:t>
            </w:r>
          </w:p>
        </w:tc>
      </w:tr>
      <w:tr>
        <w:tc>
          <w:tcPr/>
          <w:p>
            <w:pPr>
              <w:pStyle w:val="Compact"/>
            </w:pPr>
            <w:r>
              <w:t xml:space="preserve">Capital deployment</w:t>
            </w:r>
          </w:p>
        </w:tc>
        <w:tc>
          <w:tcPr/>
          <w:p>
            <w:pPr>
              <w:pStyle w:val="Compact"/>
            </w:pPr>
            <w:r>
              <w:t xml:space="preserve">&gt;$5B firepower, $3.8B buyback left</w:t>
            </w:r>
          </w:p>
        </w:tc>
        <w:tc>
          <w:tcPr/>
          <w:p>
            <w:pPr>
              <w:pStyle w:val="Compact"/>
            </w:pPr>
            <w:r>
              <w:t xml:space="preserve">New M&amp;A or continued heavy buyback</w:t>
            </w:r>
          </w:p>
        </w:tc>
      </w:tr>
    </w:tbl>
    <w:p>
      <w:pPr>
        <w:pStyle w:val="BodyText"/>
      </w:pPr>
      <w:r>
        <w:rPr>
          <w:b/>
          <w:bCs/>
        </w:rPr>
        <w:t xml:space="preserve">Net:</w:t>
      </w:r>
      <w:r>
        <w:t xml:space="preserve"> </w:t>
      </w:r>
      <w:r>
        <w:t xml:space="preserve">Fundamentally this should be a routine, guidance-consistent quarter where the headline EPS likely lands at/above the range. The share-price reaction will hinge less on Q2 itself and more on (a) bookings durability, (b) whether management defends or lifts the organic outlook, and (c) how convincingly it reframes AI as a growth driver rather than a threat — the exact issue that has cut the multiple in half.</w:t>
      </w:r>
    </w:p>
    <w:p>
      <w:r>
        <w:pict>
          <v:rect style="width:0;height:1.5pt" o:hralign="center" o:hrstd="t" o:hr="t"/>
        </w:pict>
      </w:r>
    </w:p>
    <w:p>
      <w:pPr>
        <w:pStyle w:val="FirstParagraph"/>
      </w:pPr>
      <w:r>
        <w:rPr>
          <w:i/>
          <w:iCs/>
        </w:rPr>
        <w:t xml:space="preserve">Note: figures above are drawn from Roper's Q1 2026 call (Apr 23), the Q4/FY2025 release (Jan 27), the Q2 2025 release (Jul 21), consensus commentary from third-party previews, and daily price data through July 22, 2026. Consensus and "Street" estimates are third-party and approximate.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2026-07-23T00:13:52Z</dcterms:created>
  <dcterms:modified xsi:type="dcterms:W3CDTF">2026-07-23T00:13:52Z</dcterms:modified>
</cp:coreProperties>
</file>

<file path=docProps/custom.xml><?xml version="1.0" encoding="utf-8"?>
<Properties xmlns="http://schemas.openxmlformats.org/officeDocument/2006/custom-properties" xmlns:vt="http://schemas.openxmlformats.org/officeDocument/2006/docPropsVTypes"/>
</file>