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op-earnings-predictions--2026-07-23"/>
    <w:p>
      <w:pPr>
        <w:pStyle w:val="Heading1"/>
      </w:pPr>
      <w:r>
        <w:t xml:space="preserve">ROP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~$5.35 vs. cons $5.29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 (Q2 2026, % y/y)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~5.0% vs. cons ~5.8%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2026, $B)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~$2.09B vs. cons $2.10B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DEPS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21.90</m:t>
              </m:r>
              <m:r>
                <m:rPr>
                  <m:sty m:val="p"/>
                </m:rPr>
                <m:t>−</m:t>
              </m:r>
            </m:oMath>
            <w:r>
              <w:t xml:space="preserve">22.05 vs. cons $21.95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~5%-6% vs. cons ~5.7%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Deltek/DAT/Neptune recovery commentary (no recovery underwritten)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~no change (still no recovery assumed) vs. cons expecting gradual H2 improvement (H2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-6.5% (FADE)</w:t>
            </w:r>
          </w:p>
        </w:tc>
        <w:tc>
          <w:tcPr/>
          <w:p>
            <w:pPr>
              <w:pStyle w:val="Compact"/>
            </w:pPr>
            <w:r>
              <w:t xml:space="preserve">Even with a DEPS beat, the flagged Q2 organic softness (AS timing, tough TEP comp) plus reaffirmed-not-raised FY guide implies no incremental H2 upside is being underwritten (Deltog/DAT/Neptune recoveries still excluded); in a market primed by Danaher/IBM/Pegasystems-style 'beat-but-cautious' punishments, analysts are likely to trim H2 organic/EPS estimates for the implied deceleration, driving continued multiple compression and estimate fade over the following days rather than a bounce.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2026-07-23T00:14:18Z</dcterms:created>
  <dcterms:modified xsi:type="dcterms:W3CDTF">2026-07-23T00:14:18Z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