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a8e91232f8151bde45e957c08343bcc91724937"/>
    <w:p>
      <w:pPr>
        <w:pStyle w:val="Heading1"/>
      </w:pPr>
      <w:r>
        <w:t xml:space="preserve">Roper Technologies (ROP) — Q2 2026 Earnings Preview</w:t>
      </w:r>
    </w:p>
    <w:p>
      <w:pPr>
        <w:pStyle w:val="FirstParagraph"/>
      </w:pPr>
      <w:r>
        <w:rPr>
          <w:b/>
          <w:bCs/>
        </w:rPr>
        <w:t xml:space="preserve">Report Date:</w:t>
      </w:r>
      <w:r>
        <w:t xml:space="preserve"> </w:t>
      </w:r>
      <w:r>
        <w:t xml:space="preserve">Wednesday, July 23,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6e6d5bb1b5345bfdb481380ffea47c601641a93"/>
    <w:p>
      <w:pPr>
        <w:pStyle w:val="Heading2"/>
      </w:pPr>
      <w:r>
        <w:t xml:space="preserve">1. Setup: A Very Different Backdrop Than a Year Ago</w:t>
      </w:r>
    </w:p>
    <w:p>
      <w:pPr>
        <w:pStyle w:val="FirstParagraph"/>
      </w:pPr>
      <w:r>
        <w:t xml:space="preserve">Roper heads into this print trading around</w:t>
      </w:r>
      <w:r>
        <w:t xml:space="preserve"> </w:t>
      </w:r>
      <m:oMath>
        <m:r>
          <m:t>337</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40</m:t>
        </m:r>
      </m:oMath>
      <w:r>
        <w:rPr>
          <w:b/>
          <w:bCs/>
        </w:rPr>
        <w:t xml:space="preserve">570 level</w:t>
      </w:r>
      <w:r>
        <w:t xml:space="preserve"> </w:t>
      </w:r>
      <w:r>
        <w:t xml:space="preserve">it traded at this time last year. The bulk of that damage came in two waves: a sharp drop following the January 27, 2026 Q4 2025 report (stock fell from the high-$400s toward $315 by mid-February) and renewed weakness over the past week alongside a broader software-sector selloff. This is important context for tomorrow's numbers — the market is now pricing Roper closer to an industrial multiple than the premium "compounder" multiple it has historically commanded.</w:t>
      </w:r>
    </w:p>
    <w:p>
      <w:pPr>
        <w:pStyle w:val="BodyText"/>
      </w:pPr>
      <w:r>
        <w:t xml:space="preserve">Two forces are driving the de-rating:</w:t>
      </w:r>
    </w:p>
    <w:p>
      <w:pPr>
        <w:pStyle w:val="Compact"/>
        <w:numPr>
          <w:ilvl w:val="0"/>
          <w:numId w:val="1001"/>
        </w:numPr>
      </w:pPr>
      <w:r>
        <w:rPr>
          <w:b/>
          <w:bCs/>
        </w:rPr>
        <w:t xml:space="preserve">Company-specific growth deceleration.</w:t>
      </w:r>
      <w:r>
        <w:t xml:space="preserve"> </w:t>
      </w:r>
      <w:r>
        <w:t xml:space="preserve">Organic growth in 2025 was below expectations, and management acknowledged owning that shortfall, with Deltek's GovCon business, DAT's freight backdrop, Neptune input costs, and a slow start at Procare all cited as drags.</w:t>
      </w:r>
    </w:p>
    <w:p>
      <w:pPr>
        <w:pStyle w:val="Compact"/>
        <w:numPr>
          <w:ilvl w:val="0"/>
          <w:numId w:val="1001"/>
        </w:numPr>
      </w:pPr>
      <w:r>
        <w:rPr>
          <w:b/>
          <w:bCs/>
        </w:rPr>
        <w:t xml:space="preserve">Sector-wide AI-disruption anxiety.</w:t>
      </w:r>
      <w:r>
        <w:t xml:space="preserve"> </w:t>
      </w:r>
      <w:r>
        <w:t xml:space="preserve">This week alone, IBM's stock had its biggest one-day decline ever after warning of AI-driven purchasing delays, Pegasystems fell 13% on a similar warning, ServiceNow shares remain down sharply over the past year "amid a software-stock meltdown" even after beating estimates, and Danaher — a comparably-styled diversified compounder — plunged as much as 18% on soft forward guidance despite a Q2 beat. Investors are on high alert for "beat-but-guide-cautious" reactions this quarter, and Roper is not immune to that pattern-recognition risk even though its own commentary has so far pushed back on AI-disruption fears in its vertical markets.</w:t>
      </w:r>
    </w:p>
    <w:bookmarkEnd w:id="9"/>
    <w:bookmarkStart w:id="10" w:name="Xab8cb5a2409f51b1589c96f4135471facf9fd07"/>
    <w:p>
      <w:pPr>
        <w:pStyle w:val="Heading2"/>
      </w:pPr>
      <w:r>
        <w:t xml:space="preserve">2. What's Guided / Expected</w:t>
      </w:r>
    </w:p>
    <w:p>
      <w:pPr>
        <w:pStyle w:val="FirstParagraph"/>
      </w:pPr>
      <w:r>
        <w:t xml:space="preserve">Roper's own Q2 guidance, set at the April 23 Q1 call, calls for:</w:t>
      </w:r>
    </w:p>
    <w:p>
      <w:pPr>
        <w:pStyle w:val="Compact"/>
        <w:numPr>
          <w:ilvl w:val="0"/>
          <w:numId w:val="1002"/>
        </w:numPr>
      </w:pPr>
      <w:r>
        <w:rPr>
          <w:b/>
          <w:bCs/>
        </w:rPr>
        <w:t xml:space="preserve">Adjusted DEPS of</w:t>
      </w:r>
      <w:r>
        <w:rPr>
          <w:b/>
          <w:bCs/>
        </w:rPr>
        <w:t xml:space="preserve"> </w:t>
      </w:r>
      <m:oMath>
        <m:r>
          <m:t>5.25</m:t>
        </m:r>
        <m:r>
          <m:rPr>
            <m:sty m:val="p"/>
          </m:rPr>
          <m:t>–</m:t>
        </m:r>
      </m:oMath>
      <w:r>
        <w:rPr>
          <w:b/>
          <w:bCs/>
        </w:rPr>
        <w:t xml:space="preserve">5.30</w:t>
      </w:r>
      <w:r>
        <w:t xml:space="preserve"> </w:t>
      </w:r>
      <w:r>
        <w:t xml:space="preserve">(vs. $4.87 in Q2 2025, roughly +8–9% y/y)</w:t>
      </w:r>
    </w:p>
    <w:p>
      <w:pPr>
        <w:pStyle w:val="Compact"/>
        <w:numPr>
          <w:ilvl w:val="0"/>
          <w:numId w:val="1002"/>
        </w:numPr>
      </w:pPr>
      <w:r>
        <w:t xml:space="preserve">Full-year revenue growth of</w:t>
      </w:r>
      <w:r>
        <w:t xml:space="preserve"> </w:t>
      </w:r>
      <w:r>
        <w:rPr>
          <w:b/>
          <w:bCs/>
        </w:rPr>
        <w:t xml:space="preserve">~8%</w:t>
      </w:r>
      <w:r>
        <w:t xml:space="preserve">, organic growth of</w:t>
      </w:r>
      <w:r>
        <w:t xml:space="preserve"> </w:t>
      </w:r>
      <w:r>
        <w:rPr>
          <w:b/>
          <w:bCs/>
        </w:rPr>
        <w:t xml:space="preserve">5%–6%</w:t>
      </w:r>
      <w:r>
        <w:t xml:space="preserve">, and FY DEPS of</w:t>
      </w:r>
      <w:r>
        <w:t xml:space="preserve"> </w:t>
      </w:r>
      <m:oMath>
        <m:r>
          <m:t>21.80</m:t>
        </m:r>
        <m:r>
          <m:rPr>
            <m:sty m:val="p"/>
          </m:rPr>
          <m:t>–</m:t>
        </m:r>
      </m:oMath>
      <w:r>
        <w:rPr>
          <w:b/>
          <w:bCs/>
        </w:rPr>
        <w:t xml:space="preserve">22.05</w:t>
      </w:r>
      <w:r>
        <w:t xml:space="preserve"> </w:t>
      </w:r>
      <w:r>
        <w:t xml:space="preserve">(raised from</w:t>
      </w:r>
      <w:r>
        <w:t xml:space="preserve"> </w:t>
      </w:r>
      <m:oMath>
        <m:r>
          <m:t>21.30</m:t>
        </m:r>
        <m:r>
          <m:rPr>
            <m:sty m:val="p"/>
          </m:rPr>
          <m:t>–</m:t>
        </m:r>
      </m:oMath>
      <w:r>
        <w:t xml:space="preserve">21.55 after the Q1 beat)</w:t>
      </w:r>
    </w:p>
    <w:p>
      <w:pPr>
        <w:pStyle w:val="FirstParagraph"/>
      </w:pPr>
      <w:r>
        <w:t xml:space="preserve">Wall Street consensus is tracking right at the top of that range:</w:t>
      </w:r>
      <w:r>
        <w:t xml:space="preserve"> </w:t>
      </w:r>
      <w:r>
        <w:rPr>
          <w:b/>
          <w:bCs/>
        </w:rPr>
        <w:t xml:space="preserve">EPS estimate of</w:t>
      </w:r>
      <w:r>
        <w:rPr>
          <w:b/>
          <w:bCs/>
        </w:rPr>
        <w:t xml:space="preserve"> </w:t>
      </w:r>
      <m:oMath>
        <m:r>
          <m:t>5.29</m:t>
        </m:r>
        <m:r>
          <m:rPr>
            <m:sty m:val="p"/>
          </m:rPr>
          <m:t>*</m:t>
        </m:r>
        <m:r>
          <m:rPr>
            <m:sty m:val="p"/>
          </m:rPr>
          <m:t>*</m:t>
        </m:r>
        <m:r>
          <m:rPr>
            <m:sty m:val="p"/>
          </m:rPr>
          <m:t>(</m:t>
        </m:r>
        <m:r>
          <m:t>Z</m:t>
        </m:r>
        <m:r>
          <m:t>a</m:t>
        </m:r>
        <m:r>
          <m:t>c</m:t>
        </m:r>
        <m:r>
          <m:t>k</m:t>
        </m:r>
        <m:r>
          <m:t>s</m:t>
        </m:r>
        <m:r>
          <m:rPr>
            <m:sty m:val="p"/>
          </m:rPr>
          <m:t>)</m:t>
        </m:r>
        <m:r>
          <m:t>a</m:t>
        </m:r>
        <m:r>
          <m:t>n</m:t>
        </m:r>
        <m:r>
          <m:t>d</m:t>
        </m:r>
        <m:r>
          <m:rPr>
            <m:sty m:val="p"/>
          </m:rPr>
          <m:t>*</m:t>
        </m:r>
        <m:r>
          <m:rPr>
            <m:sty m:val="p"/>
          </m:rPr>
          <m:t>*</m:t>
        </m:r>
        <m:r>
          <m:t>r</m:t>
        </m:r>
        <m:r>
          <m:t>e</m:t>
        </m:r>
        <m:r>
          <m:t>v</m:t>
        </m:r>
        <m:r>
          <m:t>e</m:t>
        </m:r>
        <m:r>
          <m:t>n</m:t>
        </m:r>
        <m:r>
          <m:t>u</m:t>
        </m:r>
        <m:r>
          <m:t>e</m:t>
        </m:r>
        <m:r>
          <m:t>o</m:t>
        </m:r>
        <m:r>
          <m:t>f</m:t>
        </m:r>
        <m:r>
          <m:t> </m:t>
        </m:r>
      </m:oMath>
      <w:r>
        <w:rPr>
          <w:b/>
          <w:bCs/>
        </w:rPr>
        <w:t xml:space="preserve">2.10B</w:t>
      </w:r>
      <w:r>
        <w:t xml:space="preserve">, implying</w:t>
      </w:r>
      <w:r>
        <w:t xml:space="preserve"> </w:t>
      </w:r>
      <w:r>
        <w:rPr>
          <w:b/>
          <w:bCs/>
        </w:rPr>
        <w:t xml:space="preserve">~7.9% total revenue growth</w:t>
      </w:r>
      <w:r>
        <w:t xml:space="preserve">. Roper has beaten consensus EPS in each of the last four quarters, so the bar is calibrated tightly — this is a "meet, not miss" setup where the market's reaction will hinge more on organic growth quality and the tone of any guidance change than on the EPS beat itself.</w:t>
      </w:r>
    </w:p>
    <w:p>
      <w:pPr>
        <w:pStyle w:val="BodyText"/>
      </w:pPr>
      <w:r>
        <w:t xml:space="preserve">Management explicitly flagged</w:t>
      </w:r>
      <w:r>
        <w:t xml:space="preserve"> </w:t>
      </w:r>
      <w:r>
        <w:rPr>
          <w:b/>
          <w:bCs/>
        </w:rPr>
        <w:t xml:space="preserve">Q2 as the softest quarter of the year on an optical basis</w:t>
      </w:r>
      <w:r>
        <w:t xml:space="preserve">:</w:t>
      </w:r>
    </w:p>
    <w:p>
      <w:pPr>
        <w:pStyle w:val="Compact"/>
        <w:numPr>
          <w:ilvl w:val="0"/>
          <w:numId w:val="1003"/>
        </w:numPr>
      </w:pPr>
      <w:r>
        <w:t xml:space="preserve">Application Software organic growth "lower in Q2 on some nonrecurring timing, improving in the back half"</w:t>
      </w:r>
    </w:p>
    <w:p>
      <w:pPr>
        <w:pStyle w:val="Compact"/>
        <w:numPr>
          <w:ilvl w:val="0"/>
          <w:numId w:val="1003"/>
        </w:numPr>
      </w:pPr>
      <w:r>
        <w:t xml:space="preserve">Technology-Enabled Products organic growth "lower in the second quarter as we face a tougher Q2 comp" (TEP grew a high 9% organically in Q2 2025)</w:t>
      </w:r>
    </w:p>
    <w:p>
      <w:pPr>
        <w:pStyle w:val="Compact"/>
        <w:numPr>
          <w:ilvl w:val="0"/>
          <w:numId w:val="1003"/>
        </w:numPr>
      </w:pPr>
      <w:r>
        <w:t xml:space="preserve">Network Software expected to hold at mid-single-digit-plus</w:t>
      </w:r>
    </w:p>
    <w:p>
      <w:pPr>
        <w:pStyle w:val="FirstParagraph"/>
      </w:pPr>
      <w:r>
        <w:t xml:space="preserve">None of this should be a surprise if it plays out as described — the risk is that investors, primed by the Danaher-style "growth reacceleration keeps getting pushed out" narrative, punish even in-line results.</w:t>
      </w:r>
    </w:p>
    <w:bookmarkEnd w:id="10"/>
    <w:bookmarkStart w:id="11" w:name="Xb50d917febca66c132f6d65a6ca63a3d3b517dc"/>
    <w:p>
      <w:pPr>
        <w:pStyle w:val="Heading2"/>
      </w:pPr>
      <w:r>
        <w:t xml:space="preserve">3. Q1 2026 Recap — The Setup Going In</w:t>
      </w:r>
    </w:p>
    <w:p>
      <w:pPr>
        <w:pStyle w:val="FirstParagraph"/>
      </w:pPr>
      <w:r>
        <w:t xml:space="preserve">Q1 was a clean beat: total revenue grew 11%, organic revenue grew 6%, EBITDA grew 8%, free cash flow grew 11%, and DEPS was $5.16, above the</w:t>
      </w:r>
      <w:r>
        <w:t xml:space="preserve"> </w:t>
      </w:r>
      <m:oMath>
        <m:r>
          <m:t>4.95</m:t>
        </m:r>
        <m:r>
          <m:rPr>
            <m:sty m:val="p"/>
          </m:rPr>
          <m:t>–</m:t>
        </m:r>
      </m:oMath>
      <w:r>
        <w:t xml:space="preserve">5.00 guide. Enterprise software bookings were strong, core up low double digits on a TTM basis, and enterprise gross retention remained strong, consistently in the mid-90s area. Management raised full-year DEPS guidance by $0.50 at the midpoint on the back of the beat plus buyback execution.</w:t>
      </w:r>
    </w:p>
    <w:bookmarkEnd w:id="11"/>
    <w:bookmarkStart w:id="12" w:name="Xd63b3bc91a83793485e420d75dfad6a69a4a475"/>
    <w:p>
      <w:pPr>
        <w:pStyle w:val="Heading2"/>
      </w:pPr>
      <w:r>
        <w:t xml:space="preserve">4. Segment Watch Items</w:t>
      </w:r>
    </w:p>
    <w:p>
      <w:pPr>
        <w:pStyle w:val="FirstParagraph"/>
      </w:pPr>
      <w:r>
        <w:rPr>
          <w:b/>
          <w:bCs/>
        </w:rPr>
        <w:t xml:space="preserve">Application Software</w:t>
      </w:r>
      <w:r>
        <w:t xml:space="preserve"> </w:t>
      </w:r>
      <w:r>
        <w:t xml:space="preserve">(largest segment): Watch for continued strength at</w:t>
      </w:r>
      <w:r>
        <w:t xml:space="preserve"> </w:t>
      </w:r>
      <w:r>
        <w:rPr>
          <w:b/>
          <w:bCs/>
        </w:rPr>
        <w:t xml:space="preserve">Aderant</w:t>
      </w:r>
      <w:r>
        <w:t xml:space="preserve"> </w:t>
      </w:r>
      <w:r>
        <w:t xml:space="preserve">(record bookings/legal-tech momentum) and</w:t>
      </w:r>
      <w:r>
        <w:t xml:space="preserve"> </w:t>
      </w:r>
      <w:r>
        <w:rPr>
          <w:b/>
          <w:bCs/>
        </w:rPr>
        <w:t xml:space="preserve">CentralReach</w:t>
      </w:r>
      <w:r>
        <w:t xml:space="preserve"> </w:t>
      </w:r>
      <w:r>
        <w:t xml:space="preserve">(recurring revenue growing "well north of 20%," AI-influenced bookings at 75% of new business). The swing factor remains</w:t>
      </w:r>
      <w:r>
        <w:t xml:space="preserve"> </w:t>
      </w:r>
      <w:r>
        <w:rPr>
          <w:b/>
          <w:bCs/>
        </w:rPr>
        <w:t xml:space="preserve">Deltek/GovCon</w:t>
      </w:r>
      <w:r>
        <w:t xml:space="preserve"> </w:t>
      </w:r>
      <w:r>
        <w:t xml:space="preserve">— Deltek grew recurring revenue in the mid-single-digit plus range, driven by strong private sector demand, partially offset by continued softness in GovCon enterprise, with two large government contractor deals that slipped out of Q4 2025 still expected to land this year. Management continues to</w:t>
      </w:r>
      <w:r>
        <w:t xml:space="preserve"> </w:t>
      </w:r>
      <w:r>
        <w:rPr>
          <w:b/>
          <w:bCs/>
        </w:rPr>
        <w:t xml:space="preserve">not underwrite</w:t>
      </w:r>
      <w:r>
        <w:t xml:space="preserve"> </w:t>
      </w:r>
      <w:r>
        <w:t xml:space="preserve">any OBBBA-driven GovCon inflection — any signs of that materializing would be a genuine upside catalyst.</w:t>
      </w:r>
    </w:p>
    <w:p>
      <w:pPr>
        <w:pStyle w:val="BodyText"/>
      </w:pPr>
      <w:r>
        <w:rPr>
          <w:b/>
          <w:bCs/>
        </w:rPr>
        <w:t xml:space="preserve">Network Software:</w:t>
      </w:r>
      <w:r>
        <w:t xml:space="preserve"> </w:t>
      </w:r>
      <w:r>
        <w:rPr>
          <w:b/>
          <w:bCs/>
        </w:rPr>
        <w:t xml:space="preserve">DAT</w:t>
      </w:r>
      <w:r>
        <w:t xml:space="preserve"> </w:t>
      </w:r>
      <w:r>
        <w:t xml:space="preserve">is the key freight-market bellwether — spot rates are up 20% to 30% year-over-year and the carrier side of the ecosystem grew in Q1 for the first time in several years, though a sharp diesel spike compressed carrier margins late in the quarter, and guidance still assumes no freight recovery. Watch for updates on</w:t>
      </w:r>
      <w:r>
        <w:t xml:space="preserve"> </w:t>
      </w:r>
      <w:r>
        <w:rPr>
          <w:b/>
          <w:bCs/>
        </w:rPr>
        <w:t xml:space="preserve">Convoy</w:t>
      </w:r>
      <w:r>
        <w:t xml:space="preserve"> </w:t>
      </w:r>
      <w:r>
        <w:t xml:space="preserve">(agentic freight automation) and whether</w:t>
      </w:r>
      <w:r>
        <w:t xml:space="preserve"> </w:t>
      </w:r>
      <w:r>
        <w:rPr>
          <w:b/>
          <w:bCs/>
        </w:rPr>
        <w:t xml:space="preserve">Subsplash</w:t>
      </w:r>
      <w:r>
        <w:t xml:space="preserve"> </w:t>
      </w:r>
      <w:r>
        <w:t xml:space="preserve">is tracking to turn organic in Q4 as planned. Segment margins remain pressured by continued investment in these newer assets.</w:t>
      </w:r>
    </w:p>
    <w:p>
      <w:pPr>
        <w:pStyle w:val="BodyText"/>
      </w:pPr>
      <w:r>
        <w:rPr>
          <w:b/>
          <w:bCs/>
        </w:rPr>
        <w:t xml:space="preserve">Technology-Enabled Products:</w:t>
      </w:r>
      <w:r>
        <w:t xml:space="preserve"> </w:t>
      </w:r>
      <w:r>
        <w:rPr>
          <w:b/>
          <w:bCs/>
        </w:rPr>
        <w:t xml:space="preserve">NDI</w:t>
      </w:r>
      <w:r>
        <w:t xml:space="preserve"> </w:t>
      </w:r>
      <w:r>
        <w:t xml:space="preserve">and</w:t>
      </w:r>
      <w:r>
        <w:t xml:space="preserve"> </w:t>
      </w:r>
      <w:r>
        <w:rPr>
          <w:b/>
          <w:bCs/>
        </w:rPr>
        <w:t xml:space="preserve">Verathon</w:t>
      </w:r>
      <w:r>
        <w:t xml:space="preserve"> </w:t>
      </w:r>
      <w:r>
        <w:t xml:space="preserve">have been outperforming; the offset is</w:t>
      </w:r>
      <w:r>
        <w:t xml:space="preserve"> </w:t>
      </w:r>
      <w:r>
        <w:rPr>
          <w:b/>
          <w:bCs/>
        </w:rPr>
        <w:t xml:space="preserve">Neptune</w:t>
      </w:r>
      <w:r>
        <w:t xml:space="preserve">, where bronze-ingot/input-cost inflation is expected to persist into Q2 before improving in H2, and management is</w:t>
      </w:r>
      <w:r>
        <w:t xml:space="preserve"> </w:t>
      </w:r>
      <w:r>
        <w:rPr>
          <w:b/>
          <w:bCs/>
        </w:rPr>
        <w:t xml:space="preserve">not</w:t>
      </w:r>
      <w:r>
        <w:t xml:space="preserve"> </w:t>
      </w:r>
      <w:r>
        <w:t xml:space="preserve">underwriting a Neptune volume recovery.</w:t>
      </w:r>
    </w:p>
    <w:bookmarkEnd w:id="12"/>
    <w:bookmarkStart w:id="13" w:name="X1292a77ad48db1779fc9d3f9e446f3b5dbf83dc"/>
    <w:p>
      <w:pPr>
        <w:pStyle w:val="Heading2"/>
      </w:pPr>
      <w:r>
        <w:t xml:space="preserve">5. Capital Deployment — The Other Half of the Story</w:t>
      </w:r>
    </w:p>
    <w:p>
      <w:pPr>
        <w:pStyle w:val="FirstParagraph"/>
      </w:pPr>
      <w:r>
        <w:t xml:space="preserve">Roper has been aggressively buying back stock into the valuation dislocation: since November last year, the company repurchased 6 million shares for $2.2 billion, including 4.9 million shares for $1.7 billion year-to-date in 2026, and the Board authorized an additional $3 billion of repurchase capacity, giving $3.8 billion of remaining authorization and north of $5 billion of total capital deployment capacity over the next 12 months. Net leverage ticked up to</w:t>
      </w:r>
      <w:r>
        <w:t xml:space="preserve"> </w:t>
      </w:r>
      <w:r>
        <w:rPr>
          <w:b/>
          <w:bCs/>
        </w:rPr>
        <w:t xml:space="preserve">3.1x</w:t>
      </w:r>
      <w:r>
        <w:t xml:space="preserve"> </w:t>
      </w:r>
      <w:r>
        <w:t xml:space="preserve">from 2.9x at year-end as a result.</w:t>
      </w:r>
    </w:p>
    <w:p>
      <w:pPr>
        <w:pStyle w:val="BodyText"/>
      </w:pPr>
      <w:r>
        <w:t xml:space="preserve">On M&amp;A, the tone has shifted: a quarter ago, the pipeline was at record levels; shortly after the last call, the broader public software valuation drawdown caused sellers to pause most active processes, though management still expects M&amp;A activity to pick back up, with a large number of opportunities likely to emerge once it does. Watch closely for an update on pipeline activity and whether Roper leans harder into buybacks (now even cheaper) versus resuming platform M&amp;A.</w:t>
      </w:r>
    </w:p>
    <w:bookmarkEnd w:id="13"/>
    <w:bookmarkStart w:id="14" w:name="X60eee0fadfa926cd8a84ed29bfec18a346db36d"/>
    <w:p>
      <w:pPr>
        <w:pStyle w:val="Heading2"/>
      </w:pPr>
      <w:r>
        <w:t xml:space="preserve">6. The AI Debate — Opportunity vs. Risk</w:t>
      </w:r>
    </w:p>
    <w:p>
      <w:pPr>
        <w:pStyle w:val="FirstParagraph"/>
      </w:pPr>
      <w:r>
        <w:t xml:space="preserve">Roper's own narrative remains bullish: AI is framed as</w:t>
      </w:r>
      <w:r>
        <w:t xml:space="preserve"> </w:t>
      </w:r>
      <w:r>
        <w:rPr>
          <w:b/>
          <w:bCs/>
        </w:rPr>
        <w:t xml:space="preserve">TAM-expanding rather than disruptive</w:t>
      </w:r>
      <w:r>
        <w:t xml:space="preserve">, embedded natively in mission-critical vertical workflows (legal, insurance, healthcare, freight) via products at Aderant, Vertafore, CentralReach, DAT/Convoy and others, with a dedicated internal "AI accelerator team" now scaling across the portfolio. Management has repeatedly pushed back on the idea that AI is squeezing incumbent software wallet share in its core verticals.</w:t>
      </w:r>
    </w:p>
    <w:p>
      <w:pPr>
        <w:pStyle w:val="BodyText"/>
      </w:pPr>
      <w:r>
        <w:t xml:space="preserve">However, this quarter's peer read-throughs (IBM, Pegasystems, ServiceNow) suggest AI-related purchase hesitation is a real and</w:t>
      </w:r>
      <w:r>
        <w:t xml:space="preserve"> </w:t>
      </w:r>
      <w:r>
        <w:rPr>
          <w:i/>
          <w:iCs/>
        </w:rPr>
        <w:t xml:space="preserve">broadening</w:t>
      </w:r>
      <w:r>
        <w:t xml:space="preserve"> </w:t>
      </w:r>
      <w:r>
        <w:t xml:space="preserve">dynamic across enterprise software — increasing the odds that analysts press hard on this topic on the call, and that any hint of softening bookings or elongated sales cycles gets an outsized negative reaction.</w:t>
      </w:r>
    </w:p>
    <w:bookmarkEnd w:id="14"/>
    <w:bookmarkStart w:id="15" w:name="X69dc327e1e3c0ff4b4283f3139d92038b57e1b7"/>
    <w:p>
      <w:pPr>
        <w:pStyle w:val="Heading2"/>
      </w:pPr>
      <w:r>
        <w:t xml:space="preserve">7. Valuation Context</w:t>
      </w:r>
    </w:p>
    <w:p>
      <w:pPr>
        <w:pStyle w:val="FirstParagraph"/>
      </w:pPr>
      <w:r>
        <w:t xml:space="preserve">At ~$337 and FY26 consensus EPS near</w:t>
      </w:r>
      <w:r>
        <w:t xml:space="preserve"> </w:t>
      </w:r>
      <m:oMath>
        <m:r>
          <m:t>21.95</m:t>
        </m:r>
        <m:r>
          <m:rPr>
            <m:sty m:val="p"/>
          </m:rPr>
          <m:t>–</m:t>
        </m:r>
      </m:oMath>
      <w:r>
        <w:t xml:space="preserve">22, ROP trades around</w:t>
      </w:r>
      <w:r>
        <w:t xml:space="preserve"> </w:t>
      </w:r>
      <w:r>
        <w:rPr>
          <w:b/>
          <w:bCs/>
        </w:rPr>
        <w:t xml:space="preserve">15x forward earnings</w:t>
      </w:r>
      <w:r>
        <w:t xml:space="preserve"> </w:t>
      </w:r>
      <w:r>
        <w:t xml:space="preserve">— a historically low multiple for a company that has typically commanded a premium (20s-30s) valuation as a quality compounder. That compression embeds a lot of pessimism already; a "clean" quarter with reaffirmed or modestly raised guidance and no fresh negative surprise at Deltek/DAT/Neptune could be read as a re-rating catalyst, while any incremental disappointment risks reinforcing the "growth story is broken" narrative that's weighed on the stock since January.</w:t>
      </w:r>
    </w:p>
    <w:bookmarkEnd w:id="15"/>
    <w:bookmarkStart w:id="16" w:name="X57de2a21763b9c45743811a8a3f38b9f79bcf1f"/>
    <w:p>
      <w:pPr>
        <w:pStyle w:val="Heading2"/>
      </w:pPr>
      <w:r>
        <w:t xml:space="preserve">8. Key Questions Heading Into the Call</w:t>
      </w:r>
    </w:p>
    <w:p>
      <w:pPr>
        <w:pStyle w:val="Compact"/>
        <w:numPr>
          <w:ilvl w:val="0"/>
          <w:numId w:val="1004"/>
        </w:numPr>
      </w:pPr>
      <w:r>
        <w:t xml:space="preserve">Is Q2 organic growth landing where flagged (softer optics from AS nonrecurring timing and a tough TEP comp), and is management still comfortable with the 5%–6% full-year organic framework?</w:t>
      </w:r>
    </w:p>
    <w:p>
      <w:pPr>
        <w:pStyle w:val="Compact"/>
        <w:numPr>
          <w:ilvl w:val="0"/>
          <w:numId w:val="1004"/>
        </w:numPr>
      </w:pPr>
      <w:r>
        <w:t xml:space="preserve">Any signs of a GovCon (Deltek) inflection, freight-market (DAT) improvement, or Neptune stabilization — any of the three "no-recovery-assumed" swing factors could be an upside lever.</w:t>
      </w:r>
    </w:p>
    <w:p>
      <w:pPr>
        <w:pStyle w:val="Compact"/>
        <w:numPr>
          <w:ilvl w:val="0"/>
          <w:numId w:val="1004"/>
        </w:numPr>
      </w:pPr>
      <w:r>
        <w:t xml:space="preserve">Is enterprise software bookings momentum (low-double-digit TTM growth) holding up, or is there any evidence of AI-driven purchasing hesitation like peers have flagged?</w:t>
      </w:r>
    </w:p>
    <w:p>
      <w:pPr>
        <w:pStyle w:val="Compact"/>
        <w:numPr>
          <w:ilvl w:val="0"/>
          <w:numId w:val="1004"/>
        </w:numPr>
      </w:pPr>
      <w:r>
        <w:t xml:space="preserve">Has the M&amp;A pipeline started to reopen following the software-valuation drawdown, and how is capital being weighted between buybacks (now even cheaper) and acquisitions?</w:t>
      </w:r>
    </w:p>
    <w:p>
      <w:pPr>
        <w:pStyle w:val="Compact"/>
        <w:numPr>
          <w:ilvl w:val="0"/>
          <w:numId w:val="1004"/>
        </w:numPr>
      </w:pPr>
      <w:r>
        <w:t xml:space="preserve">Any update on net leverage trajectory (3.1x) given continued buyback pace?</w:t>
      </w:r>
    </w:p>
    <w:bookmarkEnd w:id="16"/>
    <w:bookmarkStart w:id="17" w:name="bottom-line"/>
    <w:p>
      <w:pPr>
        <w:pStyle w:val="Heading2"/>
      </w:pPr>
      <w:r>
        <w:t xml:space="preserve">Bottom Line</w:t>
      </w:r>
    </w:p>
    <w:p>
      <w:pPr>
        <w:pStyle w:val="FirstParagraph"/>
      </w:pPr>
      <w:r>
        <w:t xml:space="preserve">This is a "prove it" quarter for Roper. The company's own guidance already bakes in a softer optical growth quarter, and consensus sits right at the top of management's range — a straightforward beat-and-hold outcome is likely, but the stock's reaction will probably hinge more on</w:t>
      </w:r>
      <w:r>
        <w:t xml:space="preserve"> </w:t>
      </w:r>
      <w:r>
        <w:rPr>
          <w:b/>
          <w:bCs/>
        </w:rPr>
        <w:t xml:space="preserve">organic growth quality, bookings trends, and any AI-related commentary on customer purchasing behavior</w:t>
      </w:r>
      <w:r>
        <w:t xml:space="preserve"> </w:t>
      </w:r>
      <w:r>
        <w:t xml:space="preserve">than on the DEPS number itself, especially given how jumpy the market has been this earnings season toward "beat now, cautious later" setups from comparable diversified compounders.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2026-07-23T00:14:18Z</dcterms:created>
  <dcterms:modified xsi:type="dcterms:W3CDTF">2026-07-23T00:14:18Z</dcterms:modified>
</cp:coreProperties>
</file>

<file path=docProps/custom.xml><?xml version="1.0" encoding="utf-8"?>
<Properties xmlns="http://schemas.openxmlformats.org/officeDocument/2006/custom-properties" xmlns:vt="http://schemas.openxmlformats.org/officeDocument/2006/docPropsVTypes"/>
</file>