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Xa8e91232f8151bde45e957c08343bcc91724937"/>
    <w:p>
      <w:pPr>
        <w:pStyle w:val="Heading1"/>
      </w:pPr>
      <w:r>
        <w:t xml:space="preserve">Roper Technologies (ROP) — Q2 2026 Earnings Preview</w:t>
      </w:r>
    </w:p>
    <w:p>
      <w:pPr>
        <w:pStyle w:val="BlockText"/>
      </w:pPr>
      <w:r>
        <w:rPr>
          <w:b/>
          <w:bCs/>
        </w:rPr>
        <w:t xml:space="preserve">Date clarification:</w:t>
      </w:r>
      <w:r>
        <w:t xml:space="preserve"> </w:t>
      </w:r>
      <w:r>
        <w:t xml:space="preserve">Roper is scheduled to report</w:t>
      </w:r>
      <w:r>
        <w:t xml:space="preserve"> </w:t>
      </w:r>
      <w:r>
        <w:rPr>
          <w:b/>
          <w:bCs/>
        </w:rPr>
        <w:t xml:space="preserve">today, Thursday, July 23, 2026</w:t>
      </w:r>
      <w:r>
        <w:t xml:space="preserve">, before the market opens—not tomorrow. The conference call is scheduled for</w:t>
      </w:r>
      <w:r>
        <w:t xml:space="preserve"> </w:t>
      </w:r>
      <w:r>
        <w:rPr>
          <w:b/>
          <w:bCs/>
        </w:rPr>
        <w:t xml:space="preserve">8:00 a.m. ET</w:t>
      </w:r>
      <w:r>
        <w:t xml:space="preserve">. (</w:t>
      </w:r>
      <w:hyperlink r:id="rId9">
        <w:r>
          <w:rPr>
            <w:rStyle w:val="Hyperlink"/>
          </w:rPr>
          <w:t xml:space="preserve">ropertech.com</w:t>
        </w:r>
      </w:hyperlink>
      <w:r>
        <w:t xml:space="preserve">)</w:t>
      </w:r>
    </w:p>
    <w:bookmarkStart w:id="11" w:name="executive-view"/>
    <w:p>
      <w:pPr>
        <w:pStyle w:val="Heading2"/>
      </w:pPr>
      <w:r>
        <w:t xml:space="preserve">Executive view</w:t>
      </w:r>
    </w:p>
    <w:p>
      <w:pPr>
        <w:pStyle w:val="FirstParagraph"/>
      </w:pPr>
      <w:r>
        <w:t xml:space="preserve">The headline estimates are unlikely to be the most important part of this report. Roper already guided Q2 adjusted diluted EPS to</w:t>
      </w:r>
      <w:r>
        <w:t xml:space="preserve"> </w:t>
      </w:r>
      <m:oMath>
        <m:r>
          <m:t>5.25</m:t>
        </m:r>
        <m:r>
          <m:rPr>
            <m:sty m:val="p"/>
          </m:rPr>
          <m:t>–</m:t>
        </m:r>
      </m:oMath>
      <w:r>
        <w:rPr>
          <w:b/>
          <w:bCs/>
        </w:rPr>
        <w:t xml:space="preserve">5.30</w:t>
      </w:r>
      <w:r>
        <w:t xml:space="preserve">, and consensus sits near the upper end at approximately</w:t>
      </w:r>
      <w:r>
        <w:t xml:space="preserve"> </w:t>
      </w:r>
      <m:oMath>
        <m:r>
          <m:t>5.29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a</m:t>
        </m:r>
        <m:r>
          <m:t>l</m:t>
        </m:r>
        <m:r>
          <m:t>o</m:t>
        </m:r>
        <m:r>
          <m:t>n</m:t>
        </m:r>
        <m:r>
          <m:t>g</m:t>
        </m:r>
        <m:r>
          <m:t>s</m:t>
        </m:r>
        <m:r>
          <m:t>i</m:t>
        </m:r>
        <m:r>
          <m:t>d</m:t>
        </m:r>
        <m:r>
          <m:t>e</m:t>
        </m:r>
        <m:r>
          <m:t>r</m:t>
        </m:r>
        <m:r>
          <m:t>e</m:t>
        </m:r>
        <m:r>
          <m:t>v</m:t>
        </m:r>
        <m:r>
          <m:t>e</m:t>
        </m:r>
        <m:r>
          <m:t>n</m:t>
        </m:r>
        <m:r>
          <m:t>u</m:t>
        </m:r>
        <m:r>
          <m:t>e</m:t>
        </m:r>
        <m:r>
          <m:t>o</m:t>
        </m:r>
        <m:r>
          <m:t>f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2.10 billion</w:t>
      </w:r>
      <w:r>
        <w:t xml:space="preserve">. That implies about</w:t>
      </w:r>
      <w:r>
        <w:t xml:space="preserve"> </w:t>
      </w:r>
      <w:r>
        <w:rPr>
          <w:b/>
          <w:bCs/>
        </w:rPr>
        <w:t xml:space="preserve">8% year-over-year revenue growth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9% adjusted EPS growth</w:t>
      </w:r>
      <w:r>
        <w:t xml:space="preserve">. (</w:t>
      </w:r>
      <w:hyperlink r:id="rId10">
        <w:r>
          <w:rPr>
            <w:rStyle w:val="Hyperlink"/>
          </w:rPr>
          <w:t xml:space="preserve">benzinga.com</w:t>
        </w:r>
      </w:hyperlink>
      <w:r>
        <w:t xml:space="preserve">)</w:t>
      </w:r>
    </w:p>
    <w:p>
      <w:pPr>
        <w:pStyle w:val="BodyText"/>
      </w:pPr>
      <w:r>
        <w:t xml:space="preserve">The real questions are:</w:t>
      </w:r>
    </w:p>
    <w:p>
      <w:pPr>
        <w:pStyle w:val="Compact"/>
        <w:numPr>
          <w:ilvl w:val="0"/>
          <w:numId w:val="1001"/>
        </w:numPr>
      </w:pPr>
      <w:r>
        <w:t xml:space="preserve">Can organic growth remain consistent with the</w:t>
      </w:r>
      <w:r>
        <w:t xml:space="preserve"> </w:t>
      </w:r>
      <w:r>
        <w:rPr>
          <w:b/>
          <w:bCs/>
        </w:rPr>
        <w:t xml:space="preserve">5%–6% full-year target</w:t>
      </w:r>
      <w:r>
        <w:t xml:space="preserve"> </w:t>
      </w:r>
      <w:r>
        <w:t xml:space="preserve">despite expected Q2 timing headwinds?</w:t>
      </w:r>
    </w:p>
    <w:p>
      <w:pPr>
        <w:pStyle w:val="Compact"/>
        <w:numPr>
          <w:ilvl w:val="0"/>
          <w:numId w:val="1001"/>
        </w:numPr>
      </w:pPr>
      <w:r>
        <w:t xml:space="preserve">Are software bookings, retention and recurring revenue still signaling stronger second-half growth?</w:t>
      </w:r>
    </w:p>
    <w:p>
      <w:pPr>
        <w:pStyle w:val="Compact"/>
        <w:numPr>
          <w:ilvl w:val="0"/>
          <w:numId w:val="1001"/>
        </w:numPr>
      </w:pPr>
      <w:r>
        <w:t xml:space="preserve">Will management raise full-year guidance for underlying operating reasons—not merely lower share count?</w:t>
      </w:r>
    </w:p>
    <w:p>
      <w:pPr>
        <w:pStyle w:val="Compact"/>
        <w:numPr>
          <w:ilvl w:val="0"/>
          <w:numId w:val="1001"/>
        </w:numPr>
      </w:pPr>
      <w:r>
        <w:t xml:space="preserve">Are Roper's AI products beginning to produce measurable revenue, pricing or cloud-migration benefits?</w:t>
      </w:r>
    </w:p>
    <w:p>
      <w:pPr>
        <w:pStyle w:val="Compact"/>
        <w:numPr>
          <w:ilvl w:val="0"/>
          <w:numId w:val="1001"/>
        </w:numPr>
      </w:pPr>
      <w:r>
        <w:t xml:space="preserve">Has Roper continued buying back stock following the sharp valuation reset?</w:t>
      </w:r>
    </w:p>
    <w:p>
      <w:pPr>
        <w:pStyle w:val="FirstParagraph"/>
      </w:pPr>
      <w:r>
        <w:t xml:space="preserve">My base case is a quarter broadly around consensus, with organic growth below Q1 but still consistent with the annual plan. The most consequential outcome will be management's confidence in second-half acceleration.</w:t>
      </w:r>
    </w:p>
    <w:p>
      <w:r>
        <w:pict>
          <v:rect style="width:0;height:1.5pt" o:hralign="center" o:hrstd="t" o:hr="t"/>
        </w:pict>
      </w:r>
    </w:p>
    <w:bookmarkEnd w:id="11"/>
    <w:bookmarkStart w:id="13" w:name="the-financial-bar"/>
    <w:p>
      <w:pPr>
        <w:pStyle w:val="Heading2"/>
      </w:pPr>
      <w:r>
        <w:t xml:space="preserve">The financial bar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2026 benchmark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Approx. growth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~$2.10B consensus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$1.944B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~8%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5.25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5.30 company guidance; ~$5.29 consensus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$4.87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~9%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Organic revenue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Likely ~4%–5% area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Deceleration expected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Full-year adjusted EPS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21.80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22.05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Watch for revision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Full-year total revenue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~8%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Previously reiterated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Full-year organic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5%–6%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Key operating benchmark</w:t>
            </w:r>
          </w:p>
        </w:tc>
      </w:tr>
    </w:tbl>
    <w:p>
      <w:pPr>
        <w:pStyle w:val="BodyText"/>
      </w:pPr>
      <w:r>
        <w:t xml:space="preserve">The organic-growth deceleration should not be surprising by itself. Management entered Q2 expecting:</w:t>
      </w:r>
    </w:p>
    <w:p>
      <w:pPr>
        <w:pStyle w:val="Compact"/>
        <w:numPr>
          <w:ilvl w:val="0"/>
          <w:numId w:val="1002"/>
        </w:numPr>
      </w:pPr>
      <w:r>
        <w:t xml:space="preserve">Lower nonrecurring Application Software revenue because of timing.</w:t>
      </w:r>
    </w:p>
    <w:p>
      <w:pPr>
        <w:pStyle w:val="Compact"/>
        <w:numPr>
          <w:ilvl w:val="0"/>
          <w:numId w:val="1002"/>
        </w:numPr>
      </w:pPr>
      <w:r>
        <w:t xml:space="preserve">A tougher comparison in Technology-Enabled Products.</w:t>
      </w:r>
    </w:p>
    <w:p>
      <w:pPr>
        <w:pStyle w:val="Compact"/>
        <w:numPr>
          <w:ilvl w:val="0"/>
          <w:numId w:val="1002"/>
        </w:numPr>
      </w:pPr>
      <w:r>
        <w:t xml:space="preserve">No meaningful recovery at Deltek's government-contracting customers.</w:t>
      </w:r>
    </w:p>
    <w:p>
      <w:pPr>
        <w:pStyle w:val="Compact"/>
        <w:numPr>
          <w:ilvl w:val="0"/>
          <w:numId w:val="1002"/>
        </w:numPr>
      </w:pPr>
      <w:r>
        <w:t xml:space="preserve">No meaningful freight-market recovery for DAT.</w:t>
      </w:r>
    </w:p>
    <w:p>
      <w:pPr>
        <w:pStyle w:val="Compact"/>
        <w:numPr>
          <w:ilvl w:val="0"/>
          <w:numId w:val="1002"/>
        </w:numPr>
      </w:pPr>
      <w:r>
        <w:t xml:space="preserve">Modest year-over-year weakness at Neptune.</w:t>
      </w:r>
    </w:p>
    <w:p>
      <w:pPr>
        <w:pStyle w:val="FirstParagraph"/>
      </w:pPr>
      <w:r>
        <w:t xml:space="preserve">Consequently, the quality of recurring software growth and bookings matters more than whether reported organic growth is temporarily a point below the full-year range. Roper's Q1 presentation maintained approximately 8% total revenue growth and 5%–6% organic growth for 2026. (</w:t>
      </w:r>
      <w:hyperlink r:id="rId12">
        <w:r>
          <w:rPr>
            <w:rStyle w:val="Hyperlink"/>
          </w:rPr>
          <w:t xml:space="preserve">ropertech.com</w:t>
        </w:r>
      </w:hyperlink>
      <w:r>
        <w:t xml:space="preserve">)</w:t>
      </w:r>
    </w:p>
    <w:p>
      <w:r>
        <w:pict>
          <v:rect style="width:0;height:1.5pt" o:hralign="center" o:hrstd="t" o:hr="t"/>
        </w:pict>
      </w:r>
    </w:p>
    <w:bookmarkEnd w:id="13"/>
    <w:bookmarkStart w:id="14" w:name="what-q1-established"/>
    <w:p>
      <w:pPr>
        <w:pStyle w:val="Heading2"/>
      </w:pPr>
      <w:r>
        <w:t xml:space="preserve">What Q1 established</w:t>
      </w:r>
    </w:p>
    <w:p>
      <w:pPr>
        <w:pStyle w:val="FirstParagraph"/>
      </w:pPr>
      <w:r>
        <w:t xml:space="preserve">Roper entered the quarter with solid operating momentum:</w:t>
      </w:r>
    </w:p>
    <w:p>
      <w:pPr>
        <w:pStyle w:val="Compact"/>
        <w:numPr>
          <w:ilvl w:val="0"/>
          <w:numId w:val="1003"/>
        </w:numPr>
      </w:pPr>
      <w:r>
        <w:t xml:space="preserve">Q1 revenue grew</w:t>
      </w:r>
      <w:r>
        <w:t xml:space="preserve"> </w:t>
      </w:r>
      <w:r>
        <w:rPr>
          <w:b/>
          <w:bCs/>
        </w:rPr>
        <w:t xml:space="preserve">11%</w:t>
      </w:r>
      <w:r>
        <w:t xml:space="preserve">, including</w:t>
      </w:r>
      <w:r>
        <w:t xml:space="preserve"> </w:t>
      </w:r>
      <w:r>
        <w:rPr>
          <w:b/>
          <w:bCs/>
        </w:rPr>
        <w:t xml:space="preserve">6% organic growth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Recurring software revenue across its software segments grew</w:t>
      </w:r>
      <w:r>
        <w:t xml:space="preserve"> </w:t>
      </w:r>
      <w:r>
        <w:rPr>
          <w:b/>
          <w:bCs/>
        </w:rPr>
        <w:t xml:space="preserve">7%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Enterprise gross retention remained in the</w:t>
      </w:r>
      <w:r>
        <w:t xml:space="preserve"> </w:t>
      </w:r>
      <w:r>
        <w:rPr>
          <w:b/>
          <w:bCs/>
        </w:rPr>
        <w:t xml:space="preserve">mid-90% range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Core enterprise software bookings were up</w:t>
      </w:r>
      <w:r>
        <w:t xml:space="preserve"> </w:t>
      </w:r>
      <w:r>
        <w:rPr>
          <w:b/>
          <w:bCs/>
        </w:rPr>
        <w:t xml:space="preserve">low double digits</w:t>
      </w:r>
      <w:r>
        <w:t xml:space="preserve"> </w:t>
      </w:r>
      <w:r>
        <w:t xml:space="preserve">on a trailing-12-month basis.</w:t>
      </w:r>
    </w:p>
    <w:p>
      <w:pPr>
        <w:pStyle w:val="Compact"/>
        <w:numPr>
          <w:ilvl w:val="0"/>
          <w:numId w:val="1003"/>
        </w:numPr>
      </w:pPr>
      <w:r>
        <w:t xml:space="preserve">Free cash flow increased</w:t>
      </w:r>
      <w:r>
        <w:t xml:space="preserve"> </w:t>
      </w:r>
      <w:r>
        <w:rPr>
          <w:b/>
          <w:bCs/>
        </w:rPr>
        <w:t xml:space="preserve">11%</w:t>
      </w:r>
      <w:r>
        <w:t xml:space="preserve"> </w:t>
      </w:r>
      <w:r>
        <w:t xml:space="preserve">to $562 million.</w:t>
      </w:r>
    </w:p>
    <w:p>
      <w:pPr>
        <w:pStyle w:val="Compact"/>
        <w:numPr>
          <w:ilvl w:val="0"/>
          <w:numId w:val="1003"/>
        </w:numPr>
      </w:pPr>
      <w:r>
        <w:t xml:space="preserve">Adjusted diluted EPS of</w:t>
      </w:r>
      <w:r>
        <w:t xml:space="preserve"> </w:t>
      </w:r>
      <w:r>
        <w:rPr>
          <w:b/>
          <w:bCs/>
        </w:rPr>
        <w:t xml:space="preserve">$5.16</w:t>
      </w:r>
      <w:r>
        <w:t xml:space="preserve"> </w:t>
      </w:r>
      <w:r>
        <w:t xml:space="preserve">exceeded the prior</w:t>
      </w:r>
      <w:r>
        <w:t xml:space="preserve"> </w:t>
      </w:r>
      <m:oMath>
        <m:r>
          <m:t>4.95</m:t>
        </m:r>
        <m:r>
          <m:rPr>
            <m:sty m:val="p"/>
          </m:rPr>
          <m:t>–</m:t>
        </m:r>
      </m:oMath>
      <w:r>
        <w:t xml:space="preserve">5.00 outlook.</w:t>
      </w:r>
    </w:p>
    <w:p>
      <w:pPr>
        <w:pStyle w:val="Compact"/>
        <w:numPr>
          <w:ilvl w:val="0"/>
          <w:numId w:val="1003"/>
        </w:numPr>
      </w:pPr>
      <w:r>
        <w:t xml:space="preserve">Management increased full-year adjusted EPS guidance by $0.50 at the midpoint, primarily passing through the Q1 beat and completed share repurchases.</w:t>
      </w:r>
    </w:p>
    <w:p>
      <w:pPr>
        <w:pStyle w:val="FirstParagraph"/>
      </w:pPr>
      <w:r>
        <w:t xml:space="preserve">Those leading indicators created the case for stronger software growth later in the year. The Q2 call must either reinforce or weaken that thesis.</w:t>
      </w:r>
    </w:p>
    <w:p>
      <w:r>
        <w:pict>
          <v:rect style="width:0;height:1.5pt" o:hralign="center" o:hrstd="t" o:hr="t"/>
        </w:pict>
      </w:r>
    </w:p>
    <w:bookmarkEnd w:id="14"/>
    <w:bookmarkStart w:id="18" w:name="segment-scorecard"/>
    <w:p>
      <w:pPr>
        <w:pStyle w:val="Heading2"/>
      </w:pPr>
      <w:r>
        <w:t xml:space="preserve">Segment scorecard</w:t>
      </w:r>
    </w:p>
    <w:bookmarkStart w:id="15" w:name="X09539ce7def187a43c0f49dab18f435f5cd534b"/>
    <w:p>
      <w:pPr>
        <w:pStyle w:val="Heading3"/>
      </w:pPr>
      <w:r>
        <w:t xml:space="preserve">1. Application Software: durability versus Deltek</w:t>
      </w:r>
    </w:p>
    <w:p>
      <w:pPr>
        <w:pStyle w:val="FirstParagraph"/>
      </w:pPr>
      <w:r>
        <w:t xml:space="preserve">This is Roper's largest segment and therefore the most important driver.</w:t>
      </w:r>
    </w:p>
    <w:p>
      <w:pPr>
        <w:pStyle w:val="BodyText"/>
      </w:pPr>
      <w:r>
        <w:rPr>
          <w:b/>
          <w:bCs/>
        </w:rPr>
        <w:t xml:space="preserve">What should be working</w:t>
      </w:r>
    </w:p>
    <w:p>
      <w:pPr>
        <w:pStyle w:val="Compact"/>
        <w:numPr>
          <w:ilvl w:val="0"/>
          <w:numId w:val="1004"/>
        </w:numPr>
      </w:pPr>
      <w:r>
        <w:t xml:space="preserve">Aderant's legal-software bookings, cloud migrations and cross-selling.</w:t>
      </w:r>
    </w:p>
    <w:p>
      <w:pPr>
        <w:pStyle w:val="Compact"/>
        <w:numPr>
          <w:ilvl w:val="0"/>
          <w:numId w:val="1004"/>
        </w:numPr>
      </w:pPr>
      <w:r>
        <w:t xml:space="preserve">Vertafore's recurring growth and recently introduced AI agents.</w:t>
      </w:r>
    </w:p>
    <w:p>
      <w:pPr>
        <w:pStyle w:val="Compact"/>
        <w:numPr>
          <w:ilvl w:val="0"/>
          <w:numId w:val="1004"/>
        </w:numPr>
      </w:pPr>
      <w:r>
        <w:t xml:space="preserve">CentralReach's better-than-underwritten performance, including recurring software growth above 20% in Q1.</w:t>
      </w:r>
    </w:p>
    <w:p>
      <w:pPr>
        <w:pStyle w:val="Compact"/>
        <w:numPr>
          <w:ilvl w:val="0"/>
          <w:numId w:val="1004"/>
        </w:numPr>
      </w:pPr>
      <w:r>
        <w:t xml:space="preserve">Ground-to-cloud conversions at Aderant, Deltek and PowerPlan.</w:t>
      </w:r>
    </w:p>
    <w:p>
      <w:pPr>
        <w:pStyle w:val="Compact"/>
        <w:numPr>
          <w:ilvl w:val="0"/>
          <w:numId w:val="1004"/>
        </w:numPr>
      </w:pPr>
      <w:r>
        <w:t xml:space="preserve">Continued high customer retention and pricing.</w:t>
      </w:r>
    </w:p>
    <w:p>
      <w:pPr>
        <w:pStyle w:val="FirstParagraph"/>
      </w:pPr>
      <w:r>
        <w:rPr>
          <w:b/>
          <w:bCs/>
        </w:rPr>
        <w:t xml:space="preserve">What could weigh on the quarter</w:t>
      </w:r>
    </w:p>
    <w:p>
      <w:pPr>
        <w:pStyle w:val="Compact"/>
        <w:numPr>
          <w:ilvl w:val="0"/>
          <w:numId w:val="1005"/>
        </w:numPr>
      </w:pPr>
      <w:r>
        <w:t xml:space="preserve">Management specifically flagged lower Q2 nonrecurring revenue.</w:t>
      </w:r>
    </w:p>
    <w:p>
      <w:pPr>
        <w:pStyle w:val="Compact"/>
        <w:numPr>
          <w:ilvl w:val="0"/>
          <w:numId w:val="1005"/>
        </w:numPr>
      </w:pPr>
      <w:r>
        <w:t xml:space="preserve">Deltek's government-contracting enterprise business remains affected by procurement delays, agency reorganizations and budget uncertainty.</w:t>
      </w:r>
    </w:p>
    <w:p>
      <w:pPr>
        <w:pStyle w:val="Compact"/>
        <w:numPr>
          <w:ilvl w:val="0"/>
          <w:numId w:val="1005"/>
        </w:numPr>
      </w:pPr>
      <w:r>
        <w:t xml:space="preserve">CentralReach is still an acquisition contribution in Q2, making reported growth stronger than organic growth.</w:t>
      </w:r>
    </w:p>
    <w:p>
      <w:pPr>
        <w:pStyle w:val="FirstParagraph"/>
      </w:pPr>
      <w:r>
        <w:t xml:space="preserve">The best outcome is not necessarily a large segment revenue beat. It is</w:t>
      </w:r>
      <w:r>
        <w:t xml:space="preserve"> </w:t>
      </w:r>
      <w:r>
        <w:rPr>
          <w:b/>
          <w:bCs/>
        </w:rPr>
        <w:t xml:space="preserve">mid-single-digit-plus recurring growth, stable or improving bookings, and confirmation that lower nonrecurring revenue is timing-related rather than a deterioration in demand</w:t>
      </w:r>
      <w:r>
        <w:t xml:space="preserve">.</w:t>
      </w:r>
    </w:p>
    <w:p>
      <w:pPr>
        <w:pStyle w:val="BodyText"/>
      </w:pPr>
      <w:r>
        <w:t xml:space="preserve">A meaningful improvement in Deltek's large-deal pipeline would represent upside because management assumed no GovCon inflection in existing guidance.</w:t>
      </w:r>
    </w:p>
    <w:p>
      <w:r>
        <w:pict>
          <v:rect style="width:0;height:1.5pt" o:hralign="center" o:hrstd="t" o:hr="t"/>
        </w:pict>
      </w:r>
    </w:p>
    <w:bookmarkEnd w:id="15"/>
    <w:bookmarkStart w:id="16" w:name="X15deecfceb2a08210caf4b60d742b7a1d901502"/>
    <w:p>
      <w:pPr>
        <w:pStyle w:val="Heading3"/>
      </w:pPr>
      <w:r>
        <w:t xml:space="preserve">2. Network Software: growth quality and margin investment</w:t>
      </w:r>
    </w:p>
    <w:p>
      <w:pPr>
        <w:pStyle w:val="FirstParagraph"/>
      </w:pPr>
      <w:r>
        <w:t xml:space="preserve">The principal businesses to watch are DAT, ConstructConnect, Foundry and Subsplash.</w:t>
      </w:r>
    </w:p>
    <w:p>
      <w:pPr>
        <w:pStyle w:val="BodyText"/>
      </w:pPr>
      <w:r>
        <w:rPr>
          <w:b/>
          <w:bCs/>
        </w:rPr>
        <w:t xml:space="preserve">Potential positives</w:t>
      </w:r>
    </w:p>
    <w:p>
      <w:pPr>
        <w:pStyle w:val="Compact"/>
        <w:numPr>
          <w:ilvl w:val="0"/>
          <w:numId w:val="1006"/>
        </w:numPr>
      </w:pPr>
      <w:r>
        <w:t xml:space="preserve">DAT saw its carrier population grow in Q1 for the first time in several years.</w:t>
      </w:r>
    </w:p>
    <w:p>
      <w:pPr>
        <w:pStyle w:val="Compact"/>
        <w:numPr>
          <w:ilvl w:val="0"/>
          <w:numId w:val="1006"/>
        </w:numPr>
      </w:pPr>
      <w:r>
        <w:t xml:space="preserve">Spot freight rates had improved year over year, although management remained cautious.</w:t>
      </w:r>
    </w:p>
    <w:p>
      <w:pPr>
        <w:pStyle w:val="Compact"/>
        <w:numPr>
          <w:ilvl w:val="0"/>
          <w:numId w:val="1006"/>
        </w:numPr>
      </w:pPr>
      <w:r>
        <w:t xml:space="preserve">ConstructConnect continued to post double-digit recurring growth, supported by its AI-enabled Boost product.</w:t>
      </w:r>
    </w:p>
    <w:p>
      <w:pPr>
        <w:pStyle w:val="Compact"/>
        <w:numPr>
          <w:ilvl w:val="0"/>
          <w:numId w:val="1006"/>
        </w:numPr>
      </w:pPr>
      <w:r>
        <w:t xml:space="preserve">Foundry returned to year-over-year growth and reported record Nuke ARR.</w:t>
      </w:r>
    </w:p>
    <w:p>
      <w:pPr>
        <w:pStyle w:val="Compact"/>
        <w:numPr>
          <w:ilvl w:val="0"/>
          <w:numId w:val="1006"/>
        </w:numPr>
      </w:pPr>
      <w:r>
        <w:t xml:space="preserve">Subsplash remains a faster-growth acquisition and will become organic in Q4.</w:t>
      </w:r>
    </w:p>
    <w:p>
      <w:pPr>
        <w:pStyle w:val="FirstParagraph"/>
      </w:pPr>
      <w:r>
        <w:rPr>
          <w:b/>
          <w:bCs/>
        </w:rPr>
        <w:t xml:space="preserve">Primary concern: margins</w:t>
      </w:r>
    </w:p>
    <w:p>
      <w:pPr>
        <w:pStyle w:val="BodyText"/>
      </w:pPr>
      <w:r>
        <w:t xml:space="preserve">Network Software's consolidated margin is being diluted by:</w:t>
      </w:r>
    </w:p>
    <w:p>
      <w:pPr>
        <w:pStyle w:val="Compact"/>
        <w:numPr>
          <w:ilvl w:val="0"/>
          <w:numId w:val="1007"/>
        </w:numPr>
      </w:pPr>
      <w:r>
        <w:t xml:space="preserve">Subsplash's lower current margin profile.</w:t>
      </w:r>
    </w:p>
    <w:p>
      <w:pPr>
        <w:pStyle w:val="Compact"/>
        <w:numPr>
          <w:ilvl w:val="0"/>
          <w:numId w:val="1007"/>
        </w:numPr>
      </w:pPr>
      <w:r>
        <w:t xml:space="preserve">Investment in the Convoy transaction platform within DAT.</w:t>
      </w:r>
    </w:p>
    <w:p>
      <w:pPr>
        <w:pStyle w:val="Compact"/>
        <w:numPr>
          <w:ilvl w:val="0"/>
          <w:numId w:val="1007"/>
        </w:numPr>
      </w:pPr>
      <w:r>
        <w:t xml:space="preserve">Other early-stage freight automation products.</w:t>
      </w:r>
    </w:p>
    <w:p>
      <w:pPr>
        <w:pStyle w:val="FirstParagraph"/>
      </w:pPr>
      <w:r>
        <w:t xml:space="preserve">Investors should distinguish between</w:t>
      </w:r>
      <w:r>
        <w:t xml:space="preserve"> </w:t>
      </w:r>
      <w:r>
        <w:rPr>
          <w:b/>
          <w:bCs/>
        </w:rPr>
        <w:t xml:space="preserve">intentional growth investment</w:t>
      </w:r>
      <w:r>
        <w:t xml:space="preserve"> </w:t>
      </w:r>
      <w:r>
        <w:t xml:space="preserve">and weaker underlying profitability. A stable core margin with continued spending on Convoy would be acceptable; a broader erosion in established businesses would be more concerning.</w:t>
      </w:r>
    </w:p>
    <w:p>
      <w:pPr>
        <w:pStyle w:val="BodyText"/>
      </w:pPr>
      <w:r>
        <w:t xml:space="preserve">DAT commentary could be particularly important. Guidance contains no freight recovery, so even modest improvement in carrier activity, customer retention or marketplace transactions could support second-half upside.</w:t>
      </w:r>
    </w:p>
    <w:p>
      <w:r>
        <w:pict>
          <v:rect style="width:0;height:1.5pt" o:hralign="center" o:hrstd="t" o:hr="t"/>
        </w:pict>
      </w:r>
    </w:p>
    <w:bookmarkEnd w:id="16"/>
    <w:bookmarkStart w:id="17" w:name="X35eb078c20afd1f6dafdf723b8eda1cadfa3f18"/>
    <w:p>
      <w:pPr>
        <w:pStyle w:val="Heading3"/>
      </w:pPr>
      <w:r>
        <w:t xml:space="preserve">3. Technology-Enabled Products: expect a slower quarter</w:t>
      </w:r>
    </w:p>
    <w:p>
      <w:pPr>
        <w:pStyle w:val="FirstParagraph"/>
      </w:pPr>
      <w:r>
        <w:t xml:space="preserve">Q1 organic growth of approximately 7% benefited from strong demand at NDI and Verathon. Management warned that Q2 would face a tougher comparison following unusually strong prior-year growth.</w:t>
      </w:r>
    </w:p>
    <w:p>
      <w:pPr>
        <w:pStyle w:val="BodyText"/>
      </w:pPr>
      <w:r>
        <w:t xml:space="preserve">The issues to monitor are:</w:t>
      </w:r>
    </w:p>
    <w:p>
      <w:pPr>
        <w:pStyle w:val="Compact"/>
        <w:numPr>
          <w:ilvl w:val="0"/>
          <w:numId w:val="1008"/>
        </w:numPr>
      </w:pPr>
      <w:r>
        <w:t xml:space="preserve">Continued electromagnetic-tracking demand at NDI.</w:t>
      </w:r>
    </w:p>
    <w:p>
      <w:pPr>
        <w:pStyle w:val="Compact"/>
        <w:numPr>
          <w:ilvl w:val="0"/>
          <w:numId w:val="1008"/>
        </w:numPr>
      </w:pPr>
      <w:r>
        <w:t xml:space="preserve">GlideScope and BFlex demand at Verathon.</w:t>
      </w:r>
    </w:p>
    <w:p>
      <w:pPr>
        <w:pStyle w:val="Compact"/>
        <w:numPr>
          <w:ilvl w:val="0"/>
          <w:numId w:val="1008"/>
        </w:numPr>
      </w:pPr>
      <w:r>
        <w:t xml:space="preserve">Neptune's mechanical-meter weakness.</w:t>
      </w:r>
    </w:p>
    <w:p>
      <w:pPr>
        <w:pStyle w:val="Compact"/>
        <w:numPr>
          <w:ilvl w:val="0"/>
          <w:numId w:val="1008"/>
        </w:numPr>
      </w:pPr>
      <w:r>
        <w:t xml:space="preserve">Static-meter and cloud-software adoption at Neptune.</w:t>
      </w:r>
    </w:p>
    <w:p>
      <w:pPr>
        <w:pStyle w:val="Compact"/>
        <w:numPr>
          <w:ilvl w:val="0"/>
          <w:numId w:val="1008"/>
        </w:numPr>
      </w:pPr>
      <w:r>
        <w:t xml:space="preserve">Bronze-ingot and other raw-material costs.</w:t>
      </w:r>
    </w:p>
    <w:p>
      <w:pPr>
        <w:pStyle w:val="Compact"/>
        <w:numPr>
          <w:ilvl w:val="0"/>
          <w:numId w:val="1008"/>
        </w:numPr>
      </w:pPr>
      <w:r>
        <w:t xml:space="preserve">Mix shifting toward lower-margin but more durable consumables.</w:t>
      </w:r>
    </w:p>
    <w:p>
      <w:pPr>
        <w:pStyle w:val="FirstParagraph"/>
      </w:pPr>
      <w:r>
        <w:t xml:space="preserve">A slower growth rate is already contemplated. The more important question is whether Neptune's pricing actions are beginning to offset raw-material inflation and whether management still expects margin pressure to improve during the second half.</w:t>
      </w:r>
    </w:p>
    <w:p>
      <w:r>
        <w:pict>
          <v:rect style="width:0;height:1.5pt" o:hralign="center" o:hrstd="t" o:hr="t"/>
        </w:pict>
      </w:r>
    </w:p>
    <w:bookmarkEnd w:id="17"/>
    <w:bookmarkEnd w:id="18"/>
    <w:bookmarkStart w:id="20" w:name="X23996b4f552bcec632a6b49cc224c11be078b83"/>
    <w:p>
      <w:pPr>
        <w:pStyle w:val="Heading2"/>
      </w:pPr>
      <w:r>
        <w:t xml:space="preserve">Guidance will matter more than the Q2 beat</w:t>
      </w:r>
    </w:p>
    <w:p>
      <w:pPr>
        <w:pStyle w:val="FirstParagraph"/>
      </w:pPr>
      <w:r>
        <w:t xml:space="preserve">Roper's current full-year outlook is: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Adjusted diluted EPS:</w:t>
      </w:r>
      <w:r>
        <w:t xml:space="preserve"> </w:t>
      </w:r>
      <m:oMath>
        <m:r>
          <m:t>21.80</m:t>
        </m:r>
        <m:r>
          <m:rPr>
            <m:sty m:val="p"/>
          </m:rPr>
          <m:t>–</m:t>
        </m:r>
      </m:oMath>
      <w:r>
        <w:t xml:space="preserve">22.05.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Total revenue growth:</w:t>
      </w:r>
      <w:r>
        <w:t xml:space="preserve"> </w:t>
      </w:r>
      <w:r>
        <w:t xml:space="preserve">approximately 8%.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Organic revenue growth:</w:t>
      </w:r>
      <w:r>
        <w:t xml:space="preserve"> </w:t>
      </w:r>
      <w:r>
        <w:t xml:space="preserve">5%–6%.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Tax rate:</w:t>
      </w:r>
      <w:r>
        <w:t xml:space="preserve"> </w:t>
      </w:r>
      <w:r>
        <w:t xml:space="preserve">approximately 21%.</w:t>
      </w:r>
    </w:p>
    <w:p>
      <w:pPr>
        <w:pStyle w:val="FirstParagraph"/>
      </w:pPr>
      <w:r>
        <w:t xml:space="preserve">After Q1 adjusted EPS of $5.16 and Q2 guidance near</w:t>
      </w:r>
      <w:r>
        <w:t xml:space="preserve"> </w:t>
      </w:r>
      <m:oMath>
        <m:r>
          <m:t>5.28</m:t>
        </m:r>
        <m:r>
          <m:rPr>
            <m:sty m:val="p"/>
          </m:rPr>
          <m:t>,</m:t>
        </m:r>
        <m:r>
          <m:t>t</m:t>
        </m:r>
        <m:r>
          <m:t>h</m:t>
        </m:r>
        <m:r>
          <m:t>e</m:t>
        </m:r>
        <m:r>
          <m:t>f</m:t>
        </m:r>
        <m:r>
          <m:t>u</m:t>
        </m:r>
        <m:r>
          <m:t>l</m:t>
        </m:r>
        <m:r>
          <m:t>l</m:t>
        </m:r>
        <m:r>
          <m:rPr>
            <m:sty m:val="p"/>
          </m:rPr>
          <m:t>−</m:t>
        </m:r>
        <m:r>
          <m:t>y</m:t>
        </m:r>
        <m:r>
          <m:t>e</m:t>
        </m:r>
        <m:r>
          <m:t>a</m:t>
        </m:r>
        <m:r>
          <m:t>r</m:t>
        </m:r>
        <m:r>
          <m:t>m</m:t>
        </m:r>
        <m:r>
          <m:t>i</m:t>
        </m:r>
        <m:r>
          <m:t>d</m:t>
        </m:r>
        <m:r>
          <m:t>p</m:t>
        </m:r>
        <m:r>
          <m:t>o</m:t>
        </m:r>
        <m:r>
          <m:t>i</m:t>
        </m:r>
        <m:r>
          <m:t>n</m:t>
        </m:r>
        <m:r>
          <m:t>t</m:t>
        </m:r>
        <m:r>
          <m:t>i</m:t>
        </m:r>
        <m:r>
          <m:t>m</m:t>
        </m:r>
        <m:r>
          <m:t>p</m:t>
        </m:r>
        <m:r>
          <m:t>l</m:t>
        </m:r>
        <m:r>
          <m:t>i</m:t>
        </m:r>
        <m:r>
          <m:t>e</m:t>
        </m:r>
        <m:r>
          <m:t>s</m:t>
        </m:r>
        <m:r>
          <m:t>a</m:t>
        </m:r>
        <m:r>
          <m:t>p</m:t>
        </m:r>
        <m:r>
          <m:t>p</m:t>
        </m:r>
        <m:r>
          <m:t>r</m:t>
        </m:r>
        <m:r>
          <m:t>o</m:t>
        </m:r>
        <m:r>
          <m:t>x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11.49 of second-half adjusted EPS**. The company therefore needs continued operating growth plus the benefit of a lower share count.</w:t>
      </w:r>
    </w:p>
    <w:bookmarkStart w:id="19" w:name="X6c9c211596300ed0de20b4fe1ae620335cb7101"/>
    <w:p>
      <w:pPr>
        <w:pStyle w:val="Heading3"/>
      </w:pPr>
      <w:r>
        <w:t xml:space="preserve">What would constitute a high-quality raise?</w:t>
      </w:r>
    </w:p>
    <w:p>
      <w:pPr>
        <w:pStyle w:val="FirstParagraph"/>
      </w:pPr>
      <w:r>
        <w:t xml:space="preserve">A bullish guidance increase would include one or more of:</w:t>
      </w:r>
    </w:p>
    <w:p>
      <w:pPr>
        <w:pStyle w:val="Compact"/>
        <w:numPr>
          <w:ilvl w:val="0"/>
          <w:numId w:val="1010"/>
        </w:numPr>
      </w:pPr>
      <w:r>
        <w:t xml:space="preserve">Higher organic-growth expectations.</w:t>
      </w:r>
    </w:p>
    <w:p>
      <w:pPr>
        <w:pStyle w:val="Compact"/>
        <w:numPr>
          <w:ilvl w:val="0"/>
          <w:numId w:val="1010"/>
        </w:numPr>
      </w:pPr>
      <w:r>
        <w:t xml:space="preserve">Better recurring software growth.</w:t>
      </w:r>
    </w:p>
    <w:p>
      <w:pPr>
        <w:pStyle w:val="Compact"/>
        <w:numPr>
          <w:ilvl w:val="0"/>
          <w:numId w:val="1010"/>
        </w:numPr>
      </w:pPr>
      <w:r>
        <w:t xml:space="preserve">Stronger EBITDA or free-cash-flow expectations.</w:t>
      </w:r>
    </w:p>
    <w:p>
      <w:pPr>
        <w:pStyle w:val="Compact"/>
        <w:numPr>
          <w:ilvl w:val="0"/>
          <w:numId w:val="1010"/>
        </w:numPr>
      </w:pPr>
      <w:r>
        <w:t xml:space="preserve">Improvement at Deltek, DAT or Neptune.</w:t>
      </w:r>
    </w:p>
    <w:p>
      <w:pPr>
        <w:pStyle w:val="Compact"/>
        <w:numPr>
          <w:ilvl w:val="0"/>
          <w:numId w:val="1010"/>
        </w:numPr>
      </w:pPr>
      <w:r>
        <w:t xml:space="preserve">Better margins despite AI and Convoy investment.</w:t>
      </w:r>
    </w:p>
    <w:p>
      <w:pPr>
        <w:pStyle w:val="FirstParagraph"/>
      </w:pPr>
      <w:r>
        <w:t xml:space="preserve">A guidance increase driven solely by additional share repurchases would still improve per-share value, but it would be a weaker signal regarding the health of the operating businesses.</w:t>
      </w:r>
    </w:p>
    <w:p>
      <w:pPr>
        <w:pStyle w:val="BodyText"/>
      </w:pPr>
      <w:r>
        <w:t xml:space="preserve">A simple reaffirmation would not necessarily be negative. Management's existing forecast deliberately assumes no recovery in several challenged end markets. But investors will want a convincing explanation of why second-half software growth should improve.</w:t>
      </w:r>
    </w:p>
    <w:p>
      <w:r>
        <w:pict>
          <v:rect style="width:0;height:1.5pt" o:hralign="center" o:hrstd="t" o:hr="t"/>
        </w:pict>
      </w:r>
    </w:p>
    <w:bookmarkEnd w:id="19"/>
    <w:bookmarkEnd w:id="20"/>
    <w:bookmarkStart w:id="21" w:name="X2deae97f7ada4e8b76af415af49dbbab19571cc"/>
    <w:p>
      <w:pPr>
        <w:pStyle w:val="Heading2"/>
      </w:pPr>
      <w:r>
        <w:t xml:space="preserve">AI: the market will want evidence, not another product list</w:t>
      </w:r>
    </w:p>
    <w:p>
      <w:pPr>
        <w:pStyle w:val="FirstParagraph"/>
      </w:pPr>
      <w:r>
        <w:t xml:space="preserve">Roper has an attractive AI thesis: its businesses sit inside narrow, mission-critical workflows and possess proprietary industry data. Management argues that this gives its vertical software companies an incumbent advantage over general-purpose AI tools.</w:t>
      </w:r>
    </w:p>
    <w:p>
      <w:pPr>
        <w:pStyle w:val="BodyText"/>
      </w:pPr>
      <w:r>
        <w:t xml:space="preserve">The strongest examples entering Q2 were: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CentralReach:</w:t>
      </w:r>
      <w:r>
        <w:t xml:space="preserve"> </w:t>
      </w:r>
      <w:r>
        <w:t xml:space="preserve">AI influenced 75% of Q1 new-business bookings.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Vertafore:</w:t>
      </w:r>
      <w:r>
        <w:t xml:space="preserve"> </w:t>
      </w:r>
      <w:r>
        <w:t xml:space="preserve">released multiple workflow-specific AI agents with assistance from Roper's centralized AI accelerator team.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DAT/Convoy:</w:t>
      </w:r>
      <w:r>
        <w:t xml:space="preserve"> </w:t>
      </w:r>
      <w:r>
        <w:t xml:space="preserve">using automation to participate in freight transactions rather than only collecting subscriptions.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ConstructConnect:</w:t>
      </w:r>
      <w:r>
        <w:t xml:space="preserve"> </w:t>
      </w:r>
      <w:r>
        <w:t xml:space="preserve">AI-assisted construction takeoff and schedule-reading.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Aderant:</w:t>
      </w:r>
      <w:r>
        <w:t xml:space="preserve"> </w:t>
      </w:r>
      <w:r>
        <w:t xml:space="preserve">AI products spanning legal talent management and law-firm workflows.</w:t>
      </w:r>
    </w:p>
    <w:p>
      <w:pPr>
        <w:pStyle w:val="FirstParagraph"/>
      </w:pPr>
      <w:r>
        <w:t xml:space="preserve">The questions investors should ask are now commercial:</w:t>
      </w:r>
    </w:p>
    <w:p>
      <w:pPr>
        <w:pStyle w:val="Compact"/>
        <w:numPr>
          <w:ilvl w:val="0"/>
          <w:numId w:val="1012"/>
        </w:numPr>
      </w:pPr>
      <w:r>
        <w:t xml:space="preserve">How much revenue or ARR is directly attributable to AI products?</w:t>
      </w:r>
    </w:p>
    <w:p>
      <w:pPr>
        <w:pStyle w:val="Compact"/>
        <w:numPr>
          <w:ilvl w:val="0"/>
          <w:numId w:val="1012"/>
        </w:numPr>
      </w:pPr>
      <w:r>
        <w:t xml:space="preserve">Is AI supporting higher pricing or consumption-based revenue?</w:t>
      </w:r>
    </w:p>
    <w:p>
      <w:pPr>
        <w:pStyle w:val="Compact"/>
        <w:numPr>
          <w:ilvl w:val="0"/>
          <w:numId w:val="1012"/>
        </w:numPr>
      </w:pPr>
      <w:r>
        <w:t xml:space="preserve">Is AI accelerating cloud migration?</w:t>
      </w:r>
    </w:p>
    <w:p>
      <w:pPr>
        <w:pStyle w:val="Compact"/>
        <w:numPr>
          <w:ilvl w:val="0"/>
          <w:numId w:val="1012"/>
        </w:numPr>
      </w:pPr>
      <w:r>
        <w:t xml:space="preserve">What are renewal and utilization rates for deployed products?</w:t>
      </w:r>
    </w:p>
    <w:p>
      <w:pPr>
        <w:pStyle w:val="Compact"/>
        <w:numPr>
          <w:ilvl w:val="0"/>
          <w:numId w:val="1012"/>
        </w:numPr>
      </w:pPr>
      <w:r>
        <w:t xml:space="preserve">Are model-inference costs low enough to preserve Roper's margins?</w:t>
      </w:r>
    </w:p>
    <w:p>
      <w:pPr>
        <w:pStyle w:val="Compact"/>
        <w:numPr>
          <w:ilvl w:val="0"/>
          <w:numId w:val="1012"/>
        </w:numPr>
      </w:pPr>
      <w:r>
        <w:t xml:space="preserve">Is the accelerator team producing repeatable productivity gains across the portfolio?</w:t>
      </w:r>
    </w:p>
    <w:p>
      <w:pPr>
        <w:pStyle w:val="FirstParagraph"/>
      </w:pPr>
      <w:r>
        <w:t xml:space="preserve">A few concrete monetization metrics would be more valuable than another broad catalogue of releases.</w:t>
      </w:r>
    </w:p>
    <w:p>
      <w:r>
        <w:pict>
          <v:rect style="width:0;height:1.5pt" o:hralign="center" o:hrstd="t" o:hr="t"/>
        </w:pict>
      </w:r>
    </w:p>
    <w:bookmarkEnd w:id="21"/>
    <w:bookmarkStart w:id="23" w:name="X7160498340f253c0bce04e8d12c9d5c01dfdca4"/>
    <w:p>
      <w:pPr>
        <w:pStyle w:val="Heading2"/>
      </w:pPr>
      <w:r>
        <w:t xml:space="preserve">Capital allocation may be the swing factor</w:t>
      </w:r>
    </w:p>
    <w:p>
      <w:pPr>
        <w:pStyle w:val="FirstParagraph"/>
      </w:pPr>
      <w:r>
        <w:t xml:space="preserve">Roper used the software-sector selloff aggressively. During Q1 it repurchased approximately</w:t>
      </w:r>
      <w:r>
        <w:t xml:space="preserve"> </w:t>
      </w:r>
      <w:r>
        <w:rPr>
          <w:b/>
          <w:bCs/>
        </w:rPr>
        <w:t xml:space="preserve">4.27 million shares for</w:t>
      </w:r>
      <w:r>
        <w:rPr>
          <w:b/>
          <w:bCs/>
        </w:rPr>
        <w:t xml:space="preserve"> </w:t>
      </w:r>
      <m:oMath>
        <m:r>
          <m:t>1.5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a</m:t>
        </m:r>
        <m:r>
          <m:t>t</m:t>
        </m:r>
        <m:r>
          <m:t>a</m:t>
        </m:r>
        <m:r>
          <m:t>n</m:t>
        </m:r>
        <m:r>
          <m:t>a</m:t>
        </m:r>
        <m:r>
          <m:t>v</m:t>
        </m:r>
        <m:r>
          <m:t>e</m:t>
        </m:r>
        <m:r>
          <m:t>r</m:t>
        </m:r>
        <m:r>
          <m:t>a</m:t>
        </m:r>
        <m:r>
          <m:t>g</m:t>
        </m:r>
        <m:r>
          <m:t>e</m:t>
        </m:r>
        <m:r>
          <m:t>p</m:t>
        </m:r>
        <m:r>
          <m:t>r</m:t>
        </m:r>
        <m:r>
          <m:t>i</m:t>
        </m:r>
        <m:r>
          <m:t>c</m:t>
        </m:r>
        <m:r>
          <m:t>e</m:t>
        </m:r>
        <m:r>
          <m:t>n</m:t>
        </m:r>
        <m:r>
          <m:t>e</m:t>
        </m:r>
        <m:r>
          <m:t>a</m:t>
        </m:r>
        <m:r>
          <m:t>r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351</w:t>
      </w:r>
      <w:r>
        <w:t xml:space="preserve">. It subsequently bought another approximately</w:t>
      </w:r>
      <w:r>
        <w:t xml:space="preserve"> </w:t>
      </w:r>
      <w:r>
        <w:rPr>
          <w:b/>
          <w:bCs/>
        </w:rPr>
        <w:t xml:space="preserve">1.50 million shares for $528 million</w:t>
      </w:r>
      <w:r>
        <w:t xml:space="preserve"> </w:t>
      </w:r>
      <w:r>
        <w:t xml:space="preserve">through April 30, also near</w:t>
      </w:r>
      <w:r>
        <w:t xml:space="preserve"> </w:t>
      </w:r>
      <m:oMath>
        <m:r>
          <m:t>353</m:t>
        </m:r>
        <m:r>
          <m:t>p</m:t>
        </m:r>
        <m:r>
          <m:t>e</m:t>
        </m:r>
        <m:r>
          <m:t>r</m:t>
        </m:r>
        <m:r>
          <m:t>s</m:t>
        </m:r>
        <m:r>
          <m:t>h</m:t>
        </m:r>
        <m:r>
          <m:t>a</m:t>
        </m:r>
        <m:r>
          <m:t>r</m:t>
        </m:r>
        <m:r>
          <m:t>e</m:t>
        </m:r>
        <m:r>
          <m:rPr>
            <m:sty m:val="p"/>
          </m:rPr>
          <m:t>.</m:t>
        </m:r>
        <m:r>
          <m:t>R</m:t>
        </m:r>
        <m:r>
          <m:t>e</m:t>
        </m:r>
        <m:r>
          <m:t>m</m:t>
        </m:r>
        <m:r>
          <m:t>a</m:t>
        </m:r>
        <m:r>
          <m:t>i</m:t>
        </m:r>
        <m:r>
          <m:t>n</m:t>
        </m:r>
        <m:r>
          <m:t>i</m:t>
        </m:r>
        <m:r>
          <m:t>n</m:t>
        </m:r>
        <m:r>
          <m:t>g</m:t>
        </m:r>
        <m:r>
          <m:t>r</m:t>
        </m:r>
        <m:r>
          <m:t>e</m:t>
        </m:r>
        <m:r>
          <m:t>p</m:t>
        </m:r>
        <m:r>
          <m:t>u</m:t>
        </m:r>
        <m:r>
          <m:t>r</m:t>
        </m:r>
        <m:r>
          <m:t>c</m:t>
        </m:r>
        <m:r>
          <m:t>h</m:t>
        </m:r>
        <m:r>
          <m:t>a</m:t>
        </m:r>
        <m:r>
          <m:t>s</m:t>
        </m:r>
        <m:r>
          <m:t>e</m:t>
        </m:r>
        <m:r>
          <m:t>a</m:t>
        </m:r>
        <m:r>
          <m:t>u</m:t>
        </m:r>
        <m:r>
          <m:t>t</m:t>
        </m:r>
        <m:r>
          <m:t>h</m:t>
        </m:r>
        <m:r>
          <m:t>o</m:t>
        </m:r>
        <m:r>
          <m:t>r</m:t>
        </m:r>
        <m:r>
          <m:t>i</m:t>
        </m:r>
        <m:r>
          <m:t>z</m:t>
        </m:r>
        <m:r>
          <m:t>a</m:t>
        </m:r>
        <m:r>
          <m:t>t</m:t>
        </m:r>
        <m:r>
          <m:t>i</m:t>
        </m:r>
        <m:r>
          <m:t>o</m:t>
        </m:r>
        <m:r>
          <m:t>n</m:t>
        </m:r>
        <m:r>
          <m:t>w</m:t>
        </m:r>
        <m:r>
          <m:t>a</m:t>
        </m:r>
        <m:r>
          <m:t>s</m:t>
        </m:r>
        <m:r>
          <m:t>a</m:t>
        </m:r>
        <m:r>
          <m:t>p</m:t>
        </m:r>
        <m:r>
          <m:t>p</m:t>
        </m:r>
        <m:r>
          <m:t>r</m:t>
        </m:r>
        <m:r>
          <m:t>o</m:t>
        </m:r>
        <m:r>
          <m:t>x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3.47 billion** as of April 30. (</w:t>
      </w:r>
      <w:hyperlink r:id="rId22">
        <w:r>
          <w:rPr>
            <w:rStyle w:val="Hyperlink"/>
          </w:rPr>
          <w:t xml:space="preserve">sec.gov</w:t>
        </w:r>
      </w:hyperlink>
      <w:r>
        <w:t xml:space="preserve">)</w:t>
      </w:r>
    </w:p>
    <w:p>
      <w:pPr>
        <w:pStyle w:val="BodyText"/>
      </w:pPr>
      <w:r>
        <w:t xml:space="preserve">At the latest July 22 price of approximately</w:t>
      </w:r>
      <w:r>
        <w:t xml:space="preserve"> </w:t>
      </w:r>
      <w:r>
        <w:rPr>
          <w:b/>
          <w:bCs/>
        </w:rPr>
        <w:t xml:space="preserve">$337</w:t>
      </w:r>
      <w:r>
        <w:t xml:space="preserve">, the stock trades below Roper's disclosed Q1 and April repurchase prices.</w:t>
      </w:r>
    </w:p>
    <w:p>
      <w:pPr>
        <w:pStyle w:val="BodyText"/>
      </w:pPr>
      <w:r>
        <w:t xml:space="preserve">That creates three important questions:</w:t>
      </w:r>
    </w:p>
    <w:p>
      <w:pPr>
        <w:pStyle w:val="Compact"/>
        <w:numPr>
          <w:ilvl w:val="0"/>
          <w:numId w:val="1013"/>
        </w:numPr>
      </w:pPr>
      <w:r>
        <w:t xml:space="preserve">Did Roper continue repurchasing shares during May, June and July?</w:t>
      </w:r>
    </w:p>
    <w:p>
      <w:pPr>
        <w:pStyle w:val="Compact"/>
        <w:numPr>
          <w:ilvl w:val="0"/>
          <w:numId w:val="1013"/>
        </w:numPr>
      </w:pPr>
      <w:r>
        <w:t xml:space="preserve">How does management compare today's buyback return with its acquisition pipeline?</w:t>
      </w:r>
    </w:p>
    <w:p>
      <w:pPr>
        <w:pStyle w:val="Compact"/>
        <w:numPr>
          <w:ilvl w:val="0"/>
          <w:numId w:val="1013"/>
        </w:numPr>
      </w:pPr>
      <w:r>
        <w:t xml:space="preserve">Has the software valuation reset begun to create better M&amp;A opportunities?</w:t>
      </w:r>
    </w:p>
    <w:p>
      <w:pPr>
        <w:pStyle w:val="FirstParagraph"/>
      </w:pPr>
      <w:r>
        <w:t xml:space="preserve">Roper ended Q1 at approximately</w:t>
      </w:r>
      <w:r>
        <w:t xml:space="preserve"> </w:t>
      </w:r>
      <w:r>
        <w:rPr>
          <w:b/>
          <w:bCs/>
        </w:rPr>
        <w:t xml:space="preserve">3.1× net debt to EBITDA</w:t>
      </w:r>
      <w:r>
        <w:t xml:space="preserve">, after funding repurchases partly with revolver borrowings. Its balance sheet remains capable of supporting additional capital deployment, but interest expense and leverage should still be watched. Management previously described the M&amp;A pipeline as more targeted and proprietary after the public-software drawdown temporarily caused sellers to pause processes.</w:t>
      </w:r>
    </w:p>
    <w:p>
      <w:pPr>
        <w:pStyle w:val="BodyText"/>
      </w:pPr>
      <w:r>
        <w:t xml:space="preserve">The ideal result is continued opportunistic repurchases without sacrificing the ability to acquire a high-quality vertical software asset at an attractive valuation.</w:t>
      </w:r>
    </w:p>
    <w:p>
      <w:r>
        <w:pict>
          <v:rect style="width:0;height:1.5pt" o:hralign="center" o:hrstd="t" o:hr="t"/>
        </w:pict>
      </w:r>
    </w:p>
    <w:bookmarkEnd w:id="23"/>
    <w:bookmarkStart w:id="24" w:name="valuation-and-stock-setup"/>
    <w:p>
      <w:pPr>
        <w:pStyle w:val="Heading2"/>
      </w:pPr>
      <w:r>
        <w:t xml:space="preserve">Valuation and stock setup</w:t>
      </w:r>
    </w:p>
    <w:p>
      <w:pPr>
        <w:pStyle w:val="FirstParagraph"/>
      </w:pPr>
      <w:r>
        <w:t xml:space="preserve">ROP closed July 22 near</w:t>
      </w:r>
      <w:r>
        <w:t xml:space="preserve"> </w:t>
      </w:r>
      <w:r>
        <w:rPr>
          <w:b/>
          <w:bCs/>
        </w:rPr>
        <w:t xml:space="preserve">$336.75</w:t>
      </w:r>
      <w:r>
        <w:t xml:space="preserve">, approximately: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24% below</w:t>
      </w:r>
      <w:r>
        <w:t xml:space="preserve"> </w:t>
      </w:r>
      <w:r>
        <w:t xml:space="preserve">its 2025 year-end close.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40% below</w:t>
      </w:r>
      <w:r>
        <w:t xml:space="preserve"> </w:t>
      </w:r>
      <w:r>
        <w:t xml:space="preserve">its July 23, 2025 close.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15.4×</w:t>
      </w:r>
      <w:r>
        <w:t xml:space="preserve"> </w:t>
      </w:r>
      <w:r>
        <w:t xml:space="preserve">the midpoint of current 2026 adjusted EPS guidance.</w:t>
      </w:r>
    </w:p>
    <w:p>
      <w:pPr>
        <w:pStyle w:val="Compact"/>
        <w:numPr>
          <w:ilvl w:val="0"/>
          <w:numId w:val="1014"/>
        </w:numPr>
      </w:pPr>
      <w:r>
        <w:t xml:space="preserve">Roughly</w:t>
      </w:r>
      <w:r>
        <w:t xml:space="preserve"> </w:t>
      </w:r>
      <w:r>
        <w:rPr>
          <w:b/>
          <w:bCs/>
        </w:rPr>
        <w:t xml:space="preserve">13.8× trailing free cash flow per share</w:t>
      </w:r>
      <w:r>
        <w:t xml:space="preserve">, using management's $2.5 billion trailing free-cash-flow figure and the Q1 ending share count.</w:t>
      </w:r>
    </w:p>
    <w:p>
      <w:pPr>
        <w:pStyle w:val="FirstParagraph"/>
      </w:pPr>
      <w:r>
        <w:t xml:space="preserve">The stock is therefore no longer priced for flawless execution. That lowers the valuation risk but does not eliminate earnings risk: after such a sharp de-rating, investors may be particularly sensitive to signs that vertical software growth, AI monetization or capital deployment are structurally weaker than previously assumed.</w:t>
      </w:r>
    </w:p>
    <w:p>
      <w:pPr>
        <w:pStyle w:val="BodyText"/>
      </w:pPr>
      <w:r>
        <w:t xml:space="preserve">Conversely, a clean quarter with durable recurring growth and maintained guidance could support a meaningful re-rating because the current valuation gives limited credit to Roper's historical cash-flow compounding record.</w:t>
      </w:r>
    </w:p>
    <w:p>
      <w:r>
        <w:pict>
          <v:rect style="width:0;height:1.5pt" o:hralign="center" o:hrstd="t" o:hr="t"/>
        </w:pict>
      </w:r>
    </w:p>
    <w:bookmarkEnd w:id="24"/>
    <w:bookmarkStart w:id="28" w:name="scenario-framework"/>
    <w:p>
      <w:pPr>
        <w:pStyle w:val="Heading2"/>
      </w:pPr>
      <w:r>
        <w:t xml:space="preserve">Scenario framework</w:t>
      </w:r>
    </w:p>
    <w:bookmarkStart w:id="25" w:name="bull-case"/>
    <w:p>
      <w:pPr>
        <w:pStyle w:val="Heading3"/>
      </w:pPr>
      <w:r>
        <w:t xml:space="preserve">Bull case</w:t>
      </w:r>
    </w:p>
    <w:p>
      <w:pPr>
        <w:pStyle w:val="Compact"/>
        <w:numPr>
          <w:ilvl w:val="0"/>
          <w:numId w:val="1015"/>
        </w:numPr>
      </w:pPr>
      <w:r>
        <w:t xml:space="preserve">Revenue and EPS exceed consensus.</w:t>
      </w:r>
    </w:p>
    <w:p>
      <w:pPr>
        <w:pStyle w:val="Compact"/>
        <w:numPr>
          <w:ilvl w:val="0"/>
          <w:numId w:val="1015"/>
        </w:numPr>
      </w:pPr>
      <w:r>
        <w:t xml:space="preserve">Organic growth reaches at least 5%.</w:t>
      </w:r>
    </w:p>
    <w:p>
      <w:pPr>
        <w:pStyle w:val="Compact"/>
        <w:numPr>
          <w:ilvl w:val="0"/>
          <w:numId w:val="1015"/>
        </w:numPr>
      </w:pPr>
      <w:r>
        <w:t xml:space="preserve">Recurring software growth remains around 7% or better.</w:t>
      </w:r>
    </w:p>
    <w:p>
      <w:pPr>
        <w:pStyle w:val="Compact"/>
        <w:numPr>
          <w:ilvl w:val="0"/>
          <w:numId w:val="1015"/>
        </w:numPr>
      </w:pPr>
      <w:r>
        <w:t xml:space="preserve">Bookings stay in the high-single- to low-double-digit range.</w:t>
      </w:r>
    </w:p>
    <w:p>
      <w:pPr>
        <w:pStyle w:val="Compact"/>
        <w:numPr>
          <w:ilvl w:val="0"/>
          <w:numId w:val="1015"/>
        </w:numPr>
      </w:pPr>
      <w:r>
        <w:t xml:space="preserve">Deltek and DAT show incremental improvement.</w:t>
      </w:r>
    </w:p>
    <w:p>
      <w:pPr>
        <w:pStyle w:val="Compact"/>
        <w:numPr>
          <w:ilvl w:val="0"/>
          <w:numId w:val="1015"/>
        </w:numPr>
      </w:pPr>
      <w:r>
        <w:t xml:space="preserve">TEP margins begin to stabilize.</w:t>
      </w:r>
    </w:p>
    <w:p>
      <w:pPr>
        <w:pStyle w:val="Compact"/>
        <w:numPr>
          <w:ilvl w:val="0"/>
          <w:numId w:val="1015"/>
        </w:numPr>
      </w:pPr>
      <w:r>
        <w:t xml:space="preserve">Full-year guidance increases for both operating performance and buybacks.</w:t>
      </w:r>
    </w:p>
    <w:p>
      <w:pPr>
        <w:pStyle w:val="Compact"/>
        <w:numPr>
          <w:ilvl w:val="0"/>
          <w:numId w:val="1015"/>
        </w:numPr>
      </w:pPr>
      <w:r>
        <w:t xml:space="preserve">Management discloses continued repurchases near current prices.</w:t>
      </w:r>
    </w:p>
    <w:bookmarkEnd w:id="25"/>
    <w:bookmarkStart w:id="26" w:name="base-case"/>
    <w:p>
      <w:pPr>
        <w:pStyle w:val="Heading3"/>
      </w:pPr>
      <w:r>
        <w:t xml:space="preserve">Base case</w:t>
      </w:r>
    </w:p>
    <w:p>
      <w:pPr>
        <w:pStyle w:val="Compact"/>
        <w:numPr>
          <w:ilvl w:val="0"/>
          <w:numId w:val="1016"/>
        </w:numPr>
      </w:pPr>
      <w:r>
        <w:t xml:space="preserve">Revenue is near $2.10 billion and adjusted EPS near $5.29.</w:t>
      </w:r>
    </w:p>
    <w:p>
      <w:pPr>
        <w:pStyle w:val="Compact"/>
        <w:numPr>
          <w:ilvl w:val="0"/>
          <w:numId w:val="1016"/>
        </w:numPr>
      </w:pPr>
      <w:r>
        <w:t xml:space="preserve">Organic growth lands around 4%–5%, reflecting known timing and comparison issues.</w:t>
      </w:r>
    </w:p>
    <w:p>
      <w:pPr>
        <w:pStyle w:val="Compact"/>
        <w:numPr>
          <w:ilvl w:val="0"/>
          <w:numId w:val="1016"/>
        </w:numPr>
      </w:pPr>
      <w:r>
        <w:t xml:space="preserve">Recurring software and retention remain healthy.</w:t>
      </w:r>
    </w:p>
    <w:p>
      <w:pPr>
        <w:pStyle w:val="Compact"/>
        <w:numPr>
          <w:ilvl w:val="0"/>
          <w:numId w:val="1016"/>
        </w:numPr>
      </w:pPr>
      <w:r>
        <w:t xml:space="preserve">Management reiterates 5%–6% full-year organic growth and</w:t>
      </w:r>
      <w:r>
        <w:t xml:space="preserve"> </w:t>
      </w:r>
      <m:oMath>
        <m:r>
          <m:t>21.80</m:t>
        </m:r>
        <m:r>
          <m:rPr>
            <m:sty m:val="p"/>
          </m:rPr>
          <m:t>–</m:t>
        </m:r>
      </m:oMath>
      <w:r>
        <w:t xml:space="preserve">22.05 of adjusted EPS.</w:t>
      </w:r>
    </w:p>
    <w:p>
      <w:pPr>
        <w:pStyle w:val="Compact"/>
        <w:numPr>
          <w:ilvl w:val="0"/>
          <w:numId w:val="1016"/>
        </w:numPr>
      </w:pPr>
      <w:r>
        <w:t xml:space="preserve">No material recovery is assumed at Deltek, DAT or Neptune.</w:t>
      </w:r>
    </w:p>
    <w:p>
      <w:pPr>
        <w:pStyle w:val="Compact"/>
        <w:numPr>
          <w:ilvl w:val="0"/>
          <w:numId w:val="1016"/>
        </w:numPr>
      </w:pPr>
      <w:r>
        <w:t xml:space="preserve">Margins remain affected by Convoy investment, acquisition mix and Neptune input costs.</w:t>
      </w:r>
    </w:p>
    <w:p>
      <w:pPr>
        <w:pStyle w:val="FirstParagraph"/>
      </w:pPr>
      <w:r>
        <w:t xml:space="preserve">This would be operationally acceptable, although the stock reaction would depend heavily on bookings and management's confidence in second-half acceleration.</w:t>
      </w:r>
    </w:p>
    <w:bookmarkEnd w:id="26"/>
    <w:bookmarkStart w:id="27" w:name="bear-case"/>
    <w:p>
      <w:pPr>
        <w:pStyle w:val="Heading3"/>
      </w:pPr>
      <w:r>
        <w:t xml:space="preserve">Bear case</w:t>
      </w:r>
    </w:p>
    <w:p>
      <w:pPr>
        <w:pStyle w:val="Compact"/>
        <w:numPr>
          <w:ilvl w:val="0"/>
          <w:numId w:val="1017"/>
        </w:numPr>
      </w:pPr>
      <w:r>
        <w:t xml:space="preserve">Organic growth falls below approximately 4%.</w:t>
      </w:r>
    </w:p>
    <w:p>
      <w:pPr>
        <w:pStyle w:val="Compact"/>
        <w:numPr>
          <w:ilvl w:val="0"/>
          <w:numId w:val="1017"/>
        </w:numPr>
      </w:pPr>
      <w:r>
        <w:t xml:space="preserve">Recurring software growth or bookings decelerate materially.</w:t>
      </w:r>
    </w:p>
    <w:p>
      <w:pPr>
        <w:pStyle w:val="Compact"/>
        <w:numPr>
          <w:ilvl w:val="0"/>
          <w:numId w:val="1017"/>
        </w:numPr>
      </w:pPr>
      <w:r>
        <w:t xml:space="preserve">Deltek weakness spreads beyond large perpetual transactions.</w:t>
      </w:r>
    </w:p>
    <w:p>
      <w:pPr>
        <w:pStyle w:val="Compact"/>
        <w:numPr>
          <w:ilvl w:val="0"/>
          <w:numId w:val="1017"/>
        </w:numPr>
      </w:pPr>
      <w:r>
        <w:t xml:space="preserve">DAT loses customers despite improving freight indicators.</w:t>
      </w:r>
    </w:p>
    <w:p>
      <w:pPr>
        <w:pStyle w:val="Compact"/>
        <w:numPr>
          <w:ilvl w:val="0"/>
          <w:numId w:val="1017"/>
        </w:numPr>
      </w:pPr>
      <w:r>
        <w:t xml:space="preserve">TEP margin pressure worsens.</w:t>
      </w:r>
    </w:p>
    <w:p>
      <w:pPr>
        <w:pStyle w:val="Compact"/>
        <w:numPr>
          <w:ilvl w:val="0"/>
          <w:numId w:val="1017"/>
        </w:numPr>
      </w:pPr>
      <w:r>
        <w:t xml:space="preserve">Management reduces the organic-growth range or indicates that second-half improvement has been pushed out.</w:t>
      </w:r>
    </w:p>
    <w:p>
      <w:pPr>
        <w:pStyle w:val="Compact"/>
        <w:numPr>
          <w:ilvl w:val="0"/>
          <w:numId w:val="1017"/>
        </w:numPr>
      </w:pPr>
      <w:r>
        <w:t xml:space="preserve">Buyback activity slows without a corresponding M&amp;A announcement.</w:t>
      </w:r>
    </w:p>
    <w:p>
      <w:r>
        <w:pict>
          <v:rect style="width:0;height:1.5pt" o:hralign="center" o:hrstd="t" o:hr="t"/>
        </w:pict>
      </w:r>
    </w:p>
    <w:bookmarkEnd w:id="27"/>
    <w:bookmarkEnd w:id="28"/>
    <w:bookmarkStart w:id="29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The Q2 EPS number is a relatively low-information event because consensus is already sitting near the top of Roper's narrow guidance range. The report's investment significance will come from</w:t>
      </w:r>
      <w:r>
        <w:t xml:space="preserve"> </w:t>
      </w:r>
      <w:r>
        <w:rPr>
          <w:b/>
          <w:bCs/>
        </w:rPr>
        <w:t xml:space="preserve">organic growth quality, software bookings, recurring revenue, second-half guidance and capital deployment</w:t>
      </w:r>
      <w:r>
        <w:t xml:space="preserve">.</w:t>
      </w:r>
    </w:p>
    <w:p>
      <w:pPr>
        <w:pStyle w:val="BodyText"/>
      </w:pPr>
      <w:r>
        <w:t xml:space="preserve">The cleanest positive thesis would be:</w:t>
      </w:r>
    </w:p>
    <w:p>
      <w:pPr>
        <w:pStyle w:val="BlockText"/>
      </w:pPr>
      <w:r>
        <w:t xml:space="preserve">Q2 organic growth moderates for expected reasons, but retention and bookings remain strong, allowing management to reaffirm or improve the second-half outlook while continuing to repurchase undervalued shares.</w:t>
      </w:r>
    </w:p>
    <w:p>
      <w:pPr>
        <w:pStyle w:val="FirstParagraph"/>
      </w:pPr>
      <w:r>
        <w:t xml:space="preserve">The key risk is that supposedly temporary Q2 headwinds reveal a broader software slowdown. If recurring growth and bookings hold, however, Roper's materially lower valuation creates a considerably more favorable earnings setup than investors faced a year ago.</w:t>
      </w:r>
    </w:p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https://www.benzinga.com/quote/ROP/earnings?utm_source=openai" TargetMode="External" /><Relationship Type="http://schemas.openxmlformats.org/officeDocument/2006/relationships/hyperlink" Id="rId9" Target="https://www.ropertech.com/news-releases/news-release-details/roper-technologies-schedules-second-quarter-2026-financial?utm_source=openai" TargetMode="External" /><Relationship Type="http://schemas.openxmlformats.org/officeDocument/2006/relationships/hyperlink" Id="rId12" Target="https://www.ropertech.com/static-files/ceae6ded-8042-44ea-90fa-7a6854e27abd?utm_source=openai" TargetMode="External" /><Relationship Type="http://schemas.openxmlformats.org/officeDocument/2006/relationships/hyperlink" Id="rId22" Target="https://www.sec.gov/Archives/edgar/data/882835/000088283526000019/rop-20260331.htm?utm_source=opena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https://www.benzinga.com/quote/ROP/earnings?utm_source=openai" TargetMode="External" /><Relationship Type="http://schemas.openxmlformats.org/officeDocument/2006/relationships/hyperlink" Id="rId9" Target="https://www.ropertech.com/news-releases/news-release-details/roper-technologies-schedules-second-quarter-2026-financial?utm_source=openai" TargetMode="External" /><Relationship Type="http://schemas.openxmlformats.org/officeDocument/2006/relationships/hyperlink" Id="rId12" Target="https://www.ropertech.com/static-files/ceae6ded-8042-44ea-90fa-7a6854e27abd?utm_source=openai" TargetMode="External" /><Relationship Type="http://schemas.openxmlformats.org/officeDocument/2006/relationships/hyperlink" Id="rId22" Target="https://www.sec.gov/Archives/edgar/data/882835/000088283526000019/rop-20260331.htm?utm_source=opena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2026-07-23T00:13:50Z</dcterms:created>
  <dcterms:modified xsi:type="dcterms:W3CDTF">2026-07-23T00:13:50Z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