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6c2ed1fb84df662fb052a4482001b71a4f39c0"/>
    <w:p>
      <w:pPr>
        <w:pStyle w:val="Heading1"/>
      </w:pPr>
      <w:r>
        <w:t xml:space="preserve">Roper Technologies (NASDAQ: ROP)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Roper is scheduled to report</w:t>
      </w:r>
      <w:r>
        <w:t xml:space="preserve"> </w:t>
      </w:r>
      <w:r>
        <w:rPr>
          <w:b/>
          <w:bCs/>
        </w:rPr>
        <w:t xml:space="preserve">before the market opens today, Thursday, July 23, 2026</w:t>
      </w:r>
      <w:r>
        <w:t xml:space="preserve">, followed by an</w:t>
      </w:r>
      <w:r>
        <w:t xml:space="preserve"> </w:t>
      </w:r>
      <w:r>
        <w:rPr>
          <w:b/>
          <w:bCs/>
        </w:rPr>
        <w:t xml:space="preserve">8:00 a.m. ET</w:t>
      </w:r>
      <w:r>
        <w:t xml:space="preserve"> </w:t>
      </w:r>
      <w:r>
        <w:t xml:space="preserve">earnings call. The event is therefore today—not tomorrow.</w:t>
      </w:r>
    </w:p>
    <w:bookmarkStart w:id="9" w:name="investment-framing"/>
    <w:p>
      <w:pPr>
        <w:pStyle w:val="Heading2"/>
      </w:pPr>
      <w:r>
        <w:t xml:space="preserve">Investment framing</w:t>
      </w:r>
    </w:p>
    <w:p>
      <w:pPr>
        <w:pStyle w:val="FirstParagraph"/>
      </w:pPr>
      <w:r>
        <w:t xml:space="preserve">Roper enters 2Q26 with a relatively straightforward setup: management has already signaled a</w:t>
      </w:r>
      <w:r>
        <w:t xml:space="preserve"> </w:t>
      </w:r>
      <w:r>
        <w:rPr>
          <w:b/>
          <w:bCs/>
        </w:rPr>
        <w:t xml:space="preserve">temporarily softer organic-growth quarter</w:t>
      </w:r>
      <w:r>
        <w:t xml:space="preserve">, principally due to application-software nonrecurring-revenue timing and a difficult Technology Enabled Products (TEP) comparison. The key question is whether that anticipated softness is simply calendar/comparison-driven—as management maintained in April—or whether it reflects any deterioration in the company’s otherwise solid software demand indicators.</w:t>
      </w:r>
    </w:p>
    <w:p>
      <w:pPr>
        <w:pStyle w:val="BodyText"/>
      </w:pPr>
      <w:r>
        <w:t xml:space="preserve">The bull case remains centered on Roper’s highly recurring vertical-software portfolio, strong retention and bookings, a multi-year cloud-migration opportunity, expanding AI product commercialization, and substantial capital-allocation flexibility. The bear case is that investors may be unwilling to look through a growth deceleration if Deltek’s government-contractor market, DAT’s freight exposure, or Neptune’s water-meter business worsens further—or if management does not again raise full-year expectations after a strong first quarter.</w:t>
      </w:r>
    </w:p>
    <w:p>
      <w:pPr>
        <w:pStyle w:val="BodyText"/>
      </w:pPr>
      <w:r>
        <w:t xml:space="preserve">At</w:t>
      </w:r>
      <w:r>
        <w:t xml:space="preserve"> </w:t>
      </w:r>
      <w:r>
        <w:rPr>
          <w:b/>
          <w:bCs/>
        </w:rPr>
        <w:t xml:space="preserve">$336.75 on July 22</w:t>
      </w:r>
      <w:r>
        <w:t xml:space="preserve">, ROP had fallen about</w:t>
      </w:r>
      <w:r>
        <w:t xml:space="preserve"> </w:t>
      </w:r>
      <w:r>
        <w:rPr>
          <w:b/>
          <w:bCs/>
        </w:rPr>
        <w:t xml:space="preserve">7.2% in the prior two trading sessions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7.7% since April 22</w:t>
      </w:r>
      <w:r>
        <w:t xml:space="preserve">. On the midpoint of its current adjusted-DEPS guide, the stock trades at roughly</w:t>
      </w:r>
      <w:r>
        <w:t xml:space="preserve"> </w:t>
      </w:r>
      <w:r>
        <w:rPr>
          <w:b/>
          <w:bCs/>
        </w:rPr>
        <w:t xml:space="preserve">15.4x 2026 adjusted EPS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9"/>
    <w:bookmarkStart w:id="11" w:name="X92f6517aab5db8a2d491b0d4b0752bc87349410"/>
    <w:p>
      <w:pPr>
        <w:pStyle w:val="Heading2"/>
      </w:pPr>
      <w:r>
        <w:t xml:space="preserve">The headline setup: guidance is the primary benchmark</w:t>
      </w:r>
    </w:p>
    <w:p>
      <w:pPr>
        <w:pStyle w:val="FirstParagraph"/>
      </w:pPr>
      <w:r>
        <w:t xml:space="preserve">For 2Q26, Roper guided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guidance / reference 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5.30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2026 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21.80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22.05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5%–6%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Around</w:t>
            </w:r>
            <w:r>
              <w:t xml:space="preserve"> </w:t>
            </w:r>
            <w:r>
              <w:rPr>
                <w:b/>
                <w:bCs/>
              </w:rPr>
              <w:t xml:space="preserve">21%</w:t>
            </w:r>
            <w:r>
              <w:t xml:space="preserve"> </w:t>
            </w:r>
            <w:r>
              <w:t xml:space="preserve">for FY26; modestly below that in 2Q</w:t>
            </w:r>
          </w:p>
        </w:tc>
      </w:tr>
      <w:tr>
        <w:tc>
          <w:tcPr/>
          <w:p>
            <w:pPr>
              <w:pStyle w:val="Compact"/>
            </w:pPr>
            <w:r>
              <w:t xml:space="preserve">Assumed macro recovery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None</w:t>
            </w:r>
            <w:r>
              <w:t xml:space="preserve"> </w:t>
            </w:r>
            <w:r>
              <w:t xml:space="preserve">at Deltek GovCon, DAT freight, or Neptune</w:t>
            </w:r>
          </w:p>
        </w:tc>
      </w:tr>
    </w:tbl>
    <w:p>
      <w:pPr>
        <w:pStyle w:val="BodyText"/>
      </w:pPr>
      <w:r>
        <w:t xml:space="preserve">The company raised its full-year adjusted EPS outlook by</w:t>
      </w:r>
      <w:r>
        <w:t xml:space="preserve"> </w:t>
      </w:r>
      <w:r>
        <w:rPr>
          <w:b/>
          <w:bCs/>
        </w:rPr>
        <w:t xml:space="preserve">$0.50 at the midpoint</w:t>
      </w:r>
      <w:r>
        <w:t xml:space="preserve"> </w:t>
      </w:r>
      <w:r>
        <w:t xml:space="preserve">after 1Q26, but that increase largely reflected the first-quarter beat and already executed share repurchases rather than a higher core revenue or EBITDA outlook. That distinction matters: investors will likely want evidence that the organic-growth and margin trajectory supports another increase rather than merely EPS accretion from a smaller share count.</w:t>
      </w:r>
    </w:p>
    <w:bookmarkStart w:id="10" w:name="prior-year-comparison"/>
    <w:p>
      <w:pPr>
        <w:pStyle w:val="Heading3"/>
      </w:pPr>
      <w:r>
        <w:t xml:space="preserve">Prior-year comparison</w:t>
      </w:r>
    </w:p>
    <w:p>
      <w:pPr>
        <w:pStyle w:val="FirstParagraph"/>
      </w:pPr>
      <w:r>
        <w:t xml:space="preserve">2Q25 set a high bar in underlying operating performance: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$1.94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$775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39.9%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$4.87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free cash flow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$403 million</w:t>
            </w:r>
          </w:p>
        </w:tc>
      </w:tr>
    </w:tbl>
    <w:p>
      <w:pPr>
        <w:pStyle w:val="BodyText"/>
      </w:pPr>
      <w:r>
        <w:t xml:space="preserve">Management specifically described 2Q26 as a lower-growth quarter, so a year-over-year organic deceleration should not itself be surprising. The more important issue is whether results remain consistent with the company’s</w:t>
      </w:r>
      <w:r>
        <w:t xml:space="preserve"> </w:t>
      </w:r>
      <w:r>
        <w:rPr>
          <w:b/>
          <w:bCs/>
        </w:rPr>
        <w:t xml:space="preserve">5%–6% full-year organic-growth</w:t>
      </w:r>
      <w:r>
        <w:t xml:space="preserve"> </w:t>
      </w:r>
      <w:r>
        <w:t xml:space="preserve">framework and whether the expected second-half acceleration remains credible.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what-investors-should-watch"/>
    <w:p>
      <w:pPr>
        <w:pStyle w:val="Heading2"/>
      </w:pPr>
      <w:r>
        <w:t xml:space="preserve">What investors should watch</w:t>
      </w:r>
    </w:p>
    <w:bookmarkEnd w:id="12"/>
    <w:bookmarkStart w:id="14" w:name="Xb1da86574a36c7eac5e0c570847880a3dcfe8b7"/>
    <w:p>
      <w:pPr>
        <w:pStyle w:val="Heading2"/>
      </w:pPr>
      <w:r>
        <w:t xml:space="preserve">1. Organic growth: quality and composition matter more than the headline</w:t>
      </w:r>
    </w:p>
    <w:p>
      <w:pPr>
        <w:pStyle w:val="FirstParagraph"/>
      </w:pPr>
      <w:r>
        <w:t xml:space="preserve">Roper delivered</w:t>
      </w:r>
      <w:r>
        <w:t xml:space="preserve"> </w:t>
      </w:r>
      <w:r>
        <w:rPr>
          <w:b/>
          <w:bCs/>
        </w:rPr>
        <w:t xml:space="preserve">6% organic growth in 1Q26</w:t>
      </w:r>
      <w:r>
        <w:t xml:space="preserve">, ahead of its full-year 5%–6% framework. Management then warned that 2Q would be lower, driven by: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Application Software:</w:t>
      </w:r>
      <w:r>
        <w:t xml:space="preserve"> </w:t>
      </w:r>
      <w:r>
        <w:t xml:space="preserve">unfavorable timing in nonrecurring/perpetual activity.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TEP:</w:t>
      </w:r>
      <w:r>
        <w:t xml:space="preserve"> </w:t>
      </w:r>
      <w:r>
        <w:t xml:space="preserve">a challenging comparison against a strong 2Q25 and continued raw-material pressure.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Network Software:</w:t>
      </w:r>
      <w:r>
        <w:t xml:space="preserve"> </w:t>
      </w:r>
      <w:r>
        <w:t xml:space="preserve">no assumed cyclical recovery in freight at DAT.</w:t>
      </w:r>
    </w:p>
    <w:p>
      <w:pPr>
        <w:pStyle w:val="FirstParagraph"/>
      </w:pPr>
      <w:r>
        <w:t xml:space="preserve">A clean quarter would show that recurring software revenue, retention, bookings, and cloud conversions remain intact even if reported organic growth moderates. A more concerning result would be broad-based weakness in recurring revenue or bookings, which would call into question the second-half recovery embedded in the annual outlook.</w:t>
      </w:r>
    </w:p>
    <w:bookmarkStart w:id="13" w:name="key-operating-indicators"/>
    <w:p>
      <w:pPr>
        <w:pStyle w:val="Heading3"/>
      </w:pPr>
      <w:r>
        <w:t xml:space="preserve">Key operating indicators</w:t>
      </w:r>
    </w:p>
    <w:p>
      <w:pPr>
        <w:pStyle w:val="FirstParagraph"/>
      </w:pPr>
      <w:r>
        <w:t xml:space="preserve">Investors should focus on: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Recurring software revenue growth</w:t>
      </w:r>
      <w:r>
        <w:t xml:space="preserve">, which was</w:t>
      </w:r>
      <w:r>
        <w:t xml:space="preserve"> </w:t>
      </w:r>
      <w:r>
        <w:rPr>
          <w:b/>
          <w:bCs/>
        </w:rPr>
        <w:t xml:space="preserve">+7% in 1Q26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Enterprise gross retention</w:t>
      </w:r>
      <w:r>
        <w:t xml:space="preserve">, which management characterized as consistently in the</w:t>
      </w:r>
      <w:r>
        <w:t xml:space="preserve"> </w:t>
      </w:r>
      <w:r>
        <w:rPr>
          <w:b/>
          <w:bCs/>
        </w:rPr>
        <w:t xml:space="preserve">mid-90% range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Enterprise software bookings</w:t>
      </w:r>
      <w:r>
        <w:t xml:space="preserve">, which were up</w:t>
      </w:r>
      <w:r>
        <w:t xml:space="preserve"> </w:t>
      </w:r>
      <w:r>
        <w:rPr>
          <w:b/>
          <w:bCs/>
        </w:rPr>
        <w:t xml:space="preserve">low double digits on a trailing-12-month basis</w:t>
      </w:r>
      <w:r>
        <w:t xml:space="preserve"> </w:t>
      </w:r>
      <w:r>
        <w:t xml:space="preserve">in 1Q; management said quarterly bookings were stronger than that metric.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Backlog / remaining performance obligations</w:t>
      </w:r>
      <w:r>
        <w:t xml:space="preserve">, particularly the portion expected to convert over the following 12 months.</w:t>
      </w:r>
    </w:p>
    <w:p>
      <w:pPr>
        <w:pStyle w:val="Compact"/>
        <w:numPr>
          <w:ilvl w:val="0"/>
          <w:numId w:val="1002"/>
        </w:numPr>
      </w:pPr>
      <w:r>
        <w:t xml:space="preserve">The mix between recurring, reoccurring/transactional, and nonrecurring revenue.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Xf4960c4adf5c97579573ffadca0a694b2758184"/>
    <w:p>
      <w:pPr>
        <w:pStyle w:val="Heading2"/>
      </w:pPr>
      <w:r>
        <w:t xml:space="preserve">2. Application Software: strongest long-term asset, but a near-term timing headwind</w:t>
      </w:r>
    </w:p>
    <w:p>
      <w:pPr>
        <w:pStyle w:val="FirstParagraph"/>
      </w:pPr>
      <w:r>
        <w:t xml:space="preserve">Application Software is the largest and most important segment. In 1Q26, it produced</w:t>
      </w:r>
      <w:r>
        <w:t xml:space="preserve"> </w:t>
      </w:r>
      <w:r>
        <w:rPr>
          <w:b/>
          <w:bCs/>
        </w:rPr>
        <w:t xml:space="preserve">5% organic growth</w:t>
      </w:r>
      <w:r>
        <w:t xml:space="preserve">, with recurring/reoccurring revenue—about 85% of segment revenue—growing mid-single digits or better. Management expected 2Q growth to be lower because of nonrecurring-revenue timing, followed by improvement in the back half.</w:t>
      </w:r>
    </w:p>
    <w:bookmarkStart w:id="15" w:name="what-should-matter-on-the-call"/>
    <w:p>
      <w:pPr>
        <w:pStyle w:val="Heading3"/>
      </w:pPr>
      <w:r>
        <w:t xml:space="preserve">What should matter on the call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Aderant:</w:t>
      </w:r>
      <w:r>
        <w:t xml:space="preserve"> </w:t>
      </w:r>
      <w:r>
        <w:t xml:space="preserve">Legal-tech momentum, SaaS migration, and the ability to sustain strong bookings. Aderant has benefited from several layered growth vectors: market-share gains, cross-sell, cloud migration, and now AI-enabled product expansion.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CentralReach:</w:t>
      </w:r>
      <w:r>
        <w:t xml:space="preserve"> </w:t>
      </w:r>
      <w:r>
        <w:t xml:space="preserve">The company has been Roper’s clearest proof point for AI monetization. Management said recurring software revenue grew more than 20% in 1Q, with AI- and AI-influenced bookings representing 75% of new business. The timing of CentralReach becoming organic in the second half is an important contributor to the expected acceleration.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Vertafore:</w:t>
      </w:r>
      <w:r>
        <w:t xml:space="preserve"> </w:t>
      </w:r>
      <w:r>
        <w:t xml:space="preserve">Investors will listen for early evidence that recently introduced AI agents and the Velocity AI platform are translating into product adoption or bookings.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Deltek:</w:t>
      </w:r>
      <w:r>
        <w:t xml:space="preserve"> </w:t>
      </w:r>
      <w:r>
        <w:t xml:space="preserve">This remains the main swing factor. Roper reported mid-single-digit-plus recurring-revenue growth in 1Q, but large enterprise GovCon decisions remained delayed amid federal-procurement disruption, agency reorganizations, and budget uncertainty. Management has explicitly assumed</w:t>
      </w:r>
      <w:r>
        <w:t xml:space="preserve"> </w:t>
      </w:r>
      <w:r>
        <w:rPr>
          <w:b/>
          <w:bCs/>
        </w:rPr>
        <w:t xml:space="preserve">no GovCon inflection</w:t>
      </w:r>
      <w:r>
        <w:t xml:space="preserve"> </w:t>
      </w:r>
      <w:r>
        <w:t xml:space="preserve">in 2026 guidance.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A stable Deltek update is probably sufficient. An actual GovCon recovery would be upside, but investors should not expect it to be necessary for guidance maintenance.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9" w:name="Xbac577205d34236d7ab490af35e8cc04fe0b47c"/>
    <w:p>
      <w:pPr>
        <w:pStyle w:val="Heading2"/>
      </w:pPr>
      <w:r>
        <w:t xml:space="preserve">3. Network Software: DAT and freight are the largest debate</w:t>
      </w:r>
    </w:p>
    <w:p>
      <w:pPr>
        <w:pStyle w:val="FirstParagraph"/>
      </w:pPr>
      <w:r>
        <w:t xml:space="preserve">Network Software grew 5% organically in 1Q26, supported by construction and healthcare-oriented businesses, but its margin profile was diluted by the lower-margin Subsplash acquisition and continuing investment in Convoy within DAT.</w:t>
      </w:r>
    </w:p>
    <w:bookmarkStart w:id="17" w:name="X56302cc2d52ecf0696e5d6e4731237169c1d361"/>
    <w:p>
      <w:pPr>
        <w:pStyle w:val="Heading3"/>
      </w:pPr>
      <w:r>
        <w:t xml:space="preserve">DAT: watch for confirmation, not a recovery call</w:t>
      </w:r>
    </w:p>
    <w:p>
      <w:pPr>
        <w:pStyle w:val="FirstParagraph"/>
      </w:pPr>
      <w:r>
        <w:t xml:space="preserve">Management cited encouraging freight-market data in 1Q:</w:t>
      </w:r>
    </w:p>
    <w:p>
      <w:pPr>
        <w:pStyle w:val="Compact"/>
        <w:numPr>
          <w:ilvl w:val="0"/>
          <w:numId w:val="1004"/>
        </w:numPr>
      </w:pPr>
      <w:r>
        <w:t xml:space="preserve">Spot rates were up roughly</w:t>
      </w:r>
      <w:r>
        <w:t xml:space="preserve"> </w:t>
      </w:r>
      <w:r>
        <w:rPr>
          <w:b/>
          <w:bCs/>
        </w:rPr>
        <w:t xml:space="preserve">20%–30% year over year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Carrier counts grew for the first time in several years.</w:t>
      </w:r>
    </w:p>
    <w:p>
      <w:pPr>
        <w:pStyle w:val="Compact"/>
        <w:numPr>
          <w:ilvl w:val="0"/>
          <w:numId w:val="1004"/>
        </w:numPr>
      </w:pPr>
      <w:r>
        <w:t xml:space="preserve">Carrier economics remained pressured by elevated diesel costs.</w:t>
      </w:r>
    </w:p>
    <w:p>
      <w:pPr>
        <w:pStyle w:val="Compact"/>
        <w:numPr>
          <w:ilvl w:val="0"/>
          <w:numId w:val="1004"/>
        </w:numPr>
      </w:pPr>
      <w:r>
        <w:t xml:space="preserve">Guidance assumes</w:t>
      </w:r>
      <w:r>
        <w:t xml:space="preserve"> </w:t>
      </w:r>
      <w:r>
        <w:rPr>
          <w:b/>
          <w:bCs/>
        </w:rPr>
        <w:t xml:space="preserve">no meaningful freight-market recovery</w:t>
      </w:r>
      <w:r>
        <w:t xml:space="preserve">.</w:t>
      </w:r>
    </w:p>
    <w:p>
      <w:pPr>
        <w:pStyle w:val="FirstParagraph"/>
      </w:pPr>
      <w:r>
        <w:t xml:space="preserve">That makes DAT a potential upside lever if market conditions improve. But the company’s credibility depends on maintaining discipline: investors are likely to favor an unchanged conservative macro stance over a premature recovery narrative.</w:t>
      </w:r>
    </w:p>
    <w:p>
      <w:pPr>
        <w:pStyle w:val="BodyText"/>
      </w:pPr>
      <w:r>
        <w:t xml:space="preserve">The strategic opportunity is Convoy: Roper is attempting to move DAT from a subscription-based freight-information network toward a more automated transaction marketplace. This is a meaningful TAM expansion opportunity, but it remains an investment that pressures Network Software margins today.</w:t>
      </w:r>
    </w:p>
    <w:bookmarkEnd w:id="17"/>
    <w:bookmarkStart w:id="18" w:name="other-areas-to-monitor"/>
    <w:p>
      <w:pPr>
        <w:pStyle w:val="Heading3"/>
      </w:pPr>
      <w:r>
        <w:t xml:space="preserve">Other areas to monitor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ConstructConnect:</w:t>
      </w:r>
      <w:r>
        <w:t xml:space="preserve"> </w:t>
      </w:r>
      <w:r>
        <w:t xml:space="preserve">recurring revenue growth and traction for AI-driven estimating/takeoff products.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Foundry:</w:t>
      </w:r>
      <w:r>
        <w:t xml:space="preserve"> </w:t>
      </w:r>
      <w:r>
        <w:t xml:space="preserve">continuation of its return to growth following the prior-year entertainment-industry disruption.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Subsplash:</w:t>
      </w:r>
      <w:r>
        <w:t xml:space="preserve"> </w:t>
      </w:r>
      <w:r>
        <w:t xml:space="preserve">revenue growth and margin progression. Subsplash is expected to become organic in</w:t>
      </w:r>
      <w:r>
        <w:t xml:space="preserve"> </w:t>
      </w:r>
      <w:r>
        <w:rPr>
          <w:b/>
          <w:bCs/>
        </w:rPr>
        <w:t xml:space="preserve">4Q26</w:t>
      </w:r>
      <w:r>
        <w:t xml:space="preserve">, providing a later-year growth tailwind.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1" w:name="X0e129007b5b7643d766cf1fb0467b2b662eccaf"/>
    <w:p>
      <w:pPr>
        <w:pStyle w:val="Heading2"/>
      </w:pPr>
      <w:r>
        <w:t xml:space="preserve">4. TEP: growth is less durable and margins are under pressure</w:t>
      </w:r>
    </w:p>
    <w:p>
      <w:pPr>
        <w:pStyle w:val="FirstParagraph"/>
      </w:pPr>
      <w:r>
        <w:t xml:space="preserve">TEP surprised positively in 1Q with</w:t>
      </w:r>
      <w:r>
        <w:t xml:space="preserve"> </w:t>
      </w:r>
      <w:r>
        <w:rPr>
          <w:b/>
          <w:bCs/>
        </w:rPr>
        <w:t xml:space="preserve">7% organic growth</w:t>
      </w:r>
      <w:r>
        <w:t xml:space="preserve">, led by NDI and Verathon. But management cautioned that 2Q should be lower because of a tough comparison and ongoing raw-material pressure.</w:t>
      </w:r>
    </w:p>
    <w:bookmarkStart w:id="20" w:name="key-crosscurrents"/>
    <w:p>
      <w:pPr>
        <w:pStyle w:val="Heading3"/>
      </w:pPr>
      <w:r>
        <w:t xml:space="preserve">Key crosscurrents</w:t>
      </w:r>
    </w:p>
    <w:p>
      <w:pPr>
        <w:pStyle w:val="FirstParagraph"/>
      </w:pPr>
      <w:r>
        <w:rPr>
          <w:b/>
          <w:bCs/>
        </w:rPr>
        <w:t xml:space="preserve">Positive</w:t>
      </w:r>
    </w:p>
    <w:p>
      <w:pPr>
        <w:pStyle w:val="Compact"/>
        <w:numPr>
          <w:ilvl w:val="0"/>
          <w:numId w:val="1006"/>
        </w:numPr>
      </w:pPr>
      <w:r>
        <w:t xml:space="preserve">NDI continues to benefit from demand for electromagnetic tracking in cardiac, neurological, and orthopedic procedures.</w:t>
      </w:r>
    </w:p>
    <w:p>
      <w:pPr>
        <w:pStyle w:val="Compact"/>
        <w:numPr>
          <w:ilvl w:val="0"/>
          <w:numId w:val="1006"/>
        </w:numPr>
      </w:pPr>
      <w:r>
        <w:t xml:space="preserve">Verathon has seen healthy demand for airway-management products and expects additional product launches during the year.</w:t>
      </w:r>
    </w:p>
    <w:p>
      <w:pPr>
        <w:pStyle w:val="Compact"/>
        <w:numPr>
          <w:ilvl w:val="0"/>
          <w:numId w:val="1006"/>
        </w:numPr>
      </w:pPr>
      <w:r>
        <w:t xml:space="preserve">Faster-growing consumables improve revenue durability.</w:t>
      </w:r>
    </w:p>
    <w:p>
      <w:pPr>
        <w:pStyle w:val="FirstParagraph"/>
      </w:pPr>
      <w:r>
        <w:rPr>
          <w:b/>
          <w:bCs/>
        </w:rPr>
        <w:t xml:space="preserve">Negative</w:t>
      </w:r>
    </w:p>
    <w:p>
      <w:pPr>
        <w:pStyle w:val="Compact"/>
        <w:numPr>
          <w:ilvl w:val="0"/>
          <w:numId w:val="1007"/>
        </w:numPr>
      </w:pPr>
      <w:r>
        <w:t xml:space="preserve">The consumables mix carries lower gross margins.</w:t>
      </w:r>
    </w:p>
    <w:p>
      <w:pPr>
        <w:pStyle w:val="Compact"/>
        <w:numPr>
          <w:ilvl w:val="0"/>
          <w:numId w:val="1007"/>
        </w:numPr>
      </w:pPr>
      <w:r>
        <w:t xml:space="preserve">Neptune faces weaker mechanical-meter demand and elevated bronze-ingot costs.</w:t>
      </w:r>
    </w:p>
    <w:p>
      <w:pPr>
        <w:pStyle w:val="Compact"/>
        <w:numPr>
          <w:ilvl w:val="0"/>
          <w:numId w:val="1007"/>
        </w:numPr>
      </w:pPr>
      <w:r>
        <w:t xml:space="preserve">Roper expects raw-material pressure to persist through 2Q and improve in the back half.</w:t>
      </w:r>
    </w:p>
    <w:p>
      <w:pPr>
        <w:pStyle w:val="FirstParagraph"/>
      </w:pPr>
      <w:r>
        <w:t xml:space="preserve">Neptune is particularly important for margin expectations. Management has not underwritten a 2026 demand recovery and has said pricing actions will take time to work through backlog. A better-than-feared Neptune result would help sentiment, but it is not required for the annual plan.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X73dcc8bebda9b2cb5ff79a58eb108ade6e7e443"/>
    <w:p>
      <w:pPr>
        <w:pStyle w:val="Heading2"/>
      </w:pPr>
      <w:r>
        <w:t xml:space="preserve">5. AI: investors need tangible commercialization evidence</w:t>
      </w:r>
    </w:p>
    <w:p>
      <w:pPr>
        <w:pStyle w:val="FirstParagraph"/>
      </w:pPr>
      <w:r>
        <w:t xml:space="preserve">AI is now central to the Roper narrative, but the earnings call needs to distinguish</w:t>
      </w:r>
      <w:r>
        <w:t xml:space="preserve"> </w:t>
      </w:r>
      <w:r>
        <w:rPr>
          <w:b/>
          <w:bCs/>
        </w:rPr>
        <w:t xml:space="preserve">product activity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revenue impact</w:t>
      </w:r>
      <w:r>
        <w:t xml:space="preserve">.</w:t>
      </w:r>
    </w:p>
    <w:p>
      <w:pPr>
        <w:pStyle w:val="BodyText"/>
      </w:pPr>
      <w:r>
        <w:t xml:space="preserve">The company has meaningful examples of productivity and workflow value:</w:t>
      </w:r>
    </w:p>
    <w:p>
      <w:pPr>
        <w:pStyle w:val="Compact"/>
        <w:numPr>
          <w:ilvl w:val="0"/>
          <w:numId w:val="1008"/>
        </w:numPr>
      </w:pPr>
      <w:r>
        <w:t xml:space="preserve">CentralReach’s AI tools have reduced clinical documentation time materially and are increasingly influencing bookings.</w:t>
      </w:r>
    </w:p>
    <w:p>
      <w:pPr>
        <w:pStyle w:val="Compact"/>
        <w:numPr>
          <w:ilvl w:val="0"/>
          <w:numId w:val="1008"/>
        </w:numPr>
      </w:pPr>
      <w:r>
        <w:t xml:space="preserve">Vertafore has released multiple AI agents.</w:t>
      </w:r>
    </w:p>
    <w:p>
      <w:pPr>
        <w:pStyle w:val="Compact"/>
        <w:numPr>
          <w:ilvl w:val="0"/>
          <w:numId w:val="1008"/>
        </w:numPr>
      </w:pPr>
      <w:r>
        <w:t xml:space="preserve">DAT is deploying rate, load-entry, and workflow-automation tools.</w:t>
      </w:r>
    </w:p>
    <w:p>
      <w:pPr>
        <w:pStyle w:val="Compact"/>
        <w:numPr>
          <w:ilvl w:val="0"/>
          <w:numId w:val="1008"/>
        </w:numPr>
      </w:pPr>
      <w:r>
        <w:t xml:space="preserve">ConstructConnect is embedding AI in estimating and product development.</w:t>
      </w:r>
    </w:p>
    <w:p>
      <w:pPr>
        <w:pStyle w:val="Compact"/>
        <w:numPr>
          <w:ilvl w:val="0"/>
          <w:numId w:val="1008"/>
        </w:numPr>
      </w:pPr>
      <w:r>
        <w:t xml:space="preserve">Aderant continues to expand AI capabilities in legal workflows.</w:t>
      </w:r>
    </w:p>
    <w:p>
      <w:pPr>
        <w:pStyle w:val="FirstParagraph"/>
      </w:pPr>
      <w:r>
        <w:t xml:space="preserve">The key question is whether Roper can commercialize these products without structurally increasing its cost base or compressing margins. Management’s stated model is generally subscription pricing with potential usage-based overages, rather than pure per-token or per-click pricing. Investors should listen for: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Incremental AI ARR or bookings</w:t>
      </w:r>
      <w:r>
        <w:t xml:space="preserve">, rather than qualitative adoption alone.</w:t>
      </w:r>
    </w:p>
    <w:p>
      <w:pPr>
        <w:pStyle w:val="Compact"/>
        <w:numPr>
          <w:ilvl w:val="0"/>
          <w:numId w:val="1009"/>
        </w:numPr>
      </w:pPr>
      <w:r>
        <w:t xml:space="preserve">Pricing and packaging progress.</w:t>
      </w:r>
    </w:p>
    <w:p>
      <w:pPr>
        <w:pStyle w:val="Compact"/>
        <w:numPr>
          <w:ilvl w:val="0"/>
          <w:numId w:val="1009"/>
        </w:numPr>
      </w:pPr>
      <w:r>
        <w:t xml:space="preserve">Evidence that deployment requirements are manageable.</w:t>
      </w:r>
    </w:p>
    <w:p>
      <w:pPr>
        <w:pStyle w:val="Compact"/>
        <w:numPr>
          <w:ilvl w:val="0"/>
          <w:numId w:val="1009"/>
        </w:numPr>
      </w:pPr>
      <w:r>
        <w:t xml:space="preserve">Margin implications of AI compute, engineering, and customer-success investment.</w:t>
      </w:r>
    </w:p>
    <w:p>
      <w:pPr>
        <w:pStyle w:val="Compact"/>
        <w:numPr>
          <w:ilvl w:val="0"/>
          <w:numId w:val="1009"/>
        </w:numPr>
      </w:pPr>
      <w:r>
        <w:t xml:space="preserve">Whether AI helps accelerate cloud conversion and cross-sell.</w:t>
      </w:r>
    </w:p>
    <w:p>
      <w:r>
        <w:pict>
          <v:rect style="width:0;height:1.5pt" o:hralign="center" o:hrstd="t" o:hr="t"/>
        </w:pict>
      </w:r>
    </w:p>
    <w:bookmarkEnd w:id="22"/>
    <w:bookmarkStart w:id="23" w:name="X5f1a3846b8f8a753fbcafea877537829d40c429"/>
    <w:p>
      <w:pPr>
        <w:pStyle w:val="Heading2"/>
      </w:pPr>
      <w:r>
        <w:t xml:space="preserve">Capital allocation: a material EPS and strategic lever</w:t>
      </w:r>
    </w:p>
    <w:p>
      <w:pPr>
        <w:pStyle w:val="FirstParagraph"/>
      </w:pPr>
      <w:r>
        <w:t xml:space="preserve">Roper deployed heavily into buybacks early in 2026:</w:t>
      </w:r>
    </w:p>
    <w:p>
      <w:pPr>
        <w:pStyle w:val="Compact"/>
        <w:numPr>
          <w:ilvl w:val="0"/>
          <w:numId w:val="1010"/>
        </w:numPr>
      </w:pPr>
      <m:oMath>
        <m:r>
          <m:t>1.5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i</m:t>
        </m:r>
        <m:r>
          <m:t>n</m:t>
        </m:r>
        <m:r>
          <m:t>1</m:t>
        </m:r>
        <m:r>
          <m:t>Q</m:t>
        </m:r>
        <m:r>
          <m:t>26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4.274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350.99 per share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An additional</w:t>
      </w:r>
      <w:r>
        <w:t xml:space="preserve"> </w:t>
      </w:r>
      <m:oMath>
        <m:r>
          <m:t>528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a</m:t>
        </m:r>
        <m:r>
          <m:t>s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d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t>30</m:t>
        </m:r>
        <m:r>
          <m:rPr>
            <m:sty m:val="p"/>
          </m:rPr>
          <m:t>,</m:t>
        </m:r>
        <m:r>
          <m:t>o</m:t>
        </m:r>
        <m:r>
          <m:t>r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1.498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t</m:t>
        </m:r>
        <m:r>
          <m:t>a</m:t>
        </m:r>
        <m:r>
          <m:t>n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352.87 per share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t xml:space="preserve">Shares outstanding ended 1Q at</w:t>
      </w:r>
      <w:r>
        <w:t xml:space="preserve"> </w:t>
      </w:r>
      <w:r>
        <w:rPr>
          <w:b/>
          <w:bCs/>
        </w:rPr>
        <w:t xml:space="preserve">102.4 million</w:t>
      </w:r>
      <w:r>
        <w:t xml:space="preserve">, versus</w:t>
      </w:r>
      <w:r>
        <w:t xml:space="preserve"> </w:t>
      </w:r>
      <w:r>
        <w:rPr>
          <w:b/>
          <w:bCs/>
        </w:rPr>
        <w:t xml:space="preserve">106.6 million</w:t>
      </w:r>
      <w:r>
        <w:t xml:space="preserve"> </w:t>
      </w:r>
      <w:r>
        <w:t xml:space="preserve">at year-end 2025.</w:t>
      </w:r>
    </w:p>
    <w:p>
      <w:pPr>
        <w:pStyle w:val="Compact"/>
        <w:numPr>
          <w:ilvl w:val="0"/>
          <w:numId w:val="1010"/>
        </w:numPr>
      </w:pPr>
      <w:r>
        <w:t xml:space="preserve">As of April 30, Roper had approximately</w:t>
      </w:r>
      <w:r>
        <w:t xml:space="preserve"> </w:t>
      </w:r>
      <w:r>
        <w:rPr>
          <w:b/>
          <w:bCs/>
        </w:rPr>
        <w:t xml:space="preserve">$3.47 billion</w:t>
      </w:r>
      <w:r>
        <w:t xml:space="preserve"> </w:t>
      </w:r>
      <w:r>
        <w:t xml:space="preserve">remaining under its authorization.</w:t>
      </w:r>
    </w:p>
    <w:p>
      <w:pPr>
        <w:pStyle w:val="FirstParagraph"/>
      </w:pPr>
      <w:r>
        <w:t xml:space="preserve">This activity supports per-share earnings and cash-flow growth, but it also increased leverage: net debt to EBITDA was</w:t>
      </w:r>
      <w:r>
        <w:t xml:space="preserve"> </w:t>
      </w:r>
      <w:r>
        <w:rPr>
          <w:b/>
          <w:bCs/>
        </w:rPr>
        <w:t xml:space="preserve">3.1x</w:t>
      </w:r>
      <w:r>
        <w:t xml:space="preserve"> </w:t>
      </w:r>
      <w:r>
        <w:t xml:space="preserve">at the end of 1Q, compared with 2.9x at year-end. Roper still has substantial liquidity and described more than $5 billion of annualized capital-deployment capacity, but investors will want management to address the balance between:</w:t>
      </w:r>
    </w:p>
    <w:p>
      <w:pPr>
        <w:pStyle w:val="Compact"/>
        <w:numPr>
          <w:ilvl w:val="0"/>
          <w:numId w:val="1011"/>
        </w:numPr>
      </w:pPr>
      <w:r>
        <w:t xml:space="preserve">additional buybacks,</w:t>
      </w:r>
    </w:p>
    <w:p>
      <w:pPr>
        <w:pStyle w:val="Compact"/>
        <w:numPr>
          <w:ilvl w:val="0"/>
          <w:numId w:val="1011"/>
        </w:numPr>
      </w:pPr>
      <w:r>
        <w:t xml:space="preserve">larger software M&amp;A opportunities,</w:t>
      </w:r>
    </w:p>
    <w:p>
      <w:pPr>
        <w:pStyle w:val="Compact"/>
        <w:numPr>
          <w:ilvl w:val="0"/>
          <w:numId w:val="1011"/>
        </w:numPr>
      </w:pPr>
      <w:r>
        <w:t xml:space="preserve">the cost of carrying incremental debt, and</w:t>
      </w:r>
    </w:p>
    <w:p>
      <w:pPr>
        <w:pStyle w:val="Compact"/>
        <w:numPr>
          <w:ilvl w:val="0"/>
          <w:numId w:val="1011"/>
        </w:numPr>
      </w:pPr>
      <w:r>
        <w:t xml:space="preserve">preserving flexibility for an acquisition pipeline that management believes could improve as private-equity and private-credit pressures develop.</w:t>
      </w:r>
    </w:p>
    <w:p>
      <w:r>
        <w:pict>
          <v:rect style="width:0;height:1.5pt" o:hralign="center" o:hrstd="t" o:hr="t"/>
        </w:pict>
      </w:r>
    </w:p>
    <w:bookmarkEnd w:id="23"/>
    <w:bookmarkStart w:id="24" w:name="earnings-call-questions-that-matter"/>
    <w:p>
      <w:pPr>
        <w:pStyle w:val="Heading2"/>
      </w:pPr>
      <w:r>
        <w:t xml:space="preserve">Earnings-call questions that matter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Does full-year organic-growth guidance remain 5%–6%, and what specifically supports the expected second-half acceleration?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Was the 2Q slowdown entirely attributable to the previously flagged application-software timing and TEP comparison?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did recurring revenue, bookings, and gross retention trend relative to 1Q?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Is Deltek seeing any tangible normalization in GovCon enterprise decision-making?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is the latest on DAT carrier activity, pricing, and Convoy monetization?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Has Neptune demand or raw-material inflation changed relative to the April outlook?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What measurable AI commercialization milestones can management provide—ARR, bookings, pricing, or customer deployment data?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How much incremental buyback is embedded in current EPS guidance, if any?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Has the M&amp;A pipeline reopened, and is Roper seeing valuation opportunities that compete favorably with repurchases?</w:t>
      </w:r>
    </w:p>
    <w:p>
      <w:r>
        <w:pict>
          <v:rect style="width:0;height:1.5pt" o:hralign="center" o:hrstd="t" o:hr="t"/>
        </w:pict>
      </w:r>
    </w:p>
    <w:bookmarkEnd w:id="24"/>
    <w:bookmarkStart w:id="2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most likely constructive outcome is not necessarily a large 2Q headline beat. It is a quarter that confirms the company’s expected near-term organic-growth softness is mechanical rather than demand-driven, preserves the</w:t>
      </w:r>
      <w:r>
        <w:t xml:space="preserve"> </w:t>
      </w:r>
      <w:r>
        <w:rPr>
          <w:b/>
          <w:bCs/>
        </w:rPr>
        <w:t xml:space="preserve">5%–6% full-year organic-growth outlook</w:t>
      </w:r>
      <w:r>
        <w:t xml:space="preserve">, and provides confidence in second-half contributions from CentralReach, Subsplash, cloud conversion, and easier comparisons.</w:t>
      </w:r>
    </w:p>
    <w:p>
      <w:pPr>
        <w:pStyle w:val="BodyText"/>
      </w:pPr>
      <w:r>
        <w:t xml:space="preserve">For the shares, the hierarchy of importance is likely: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Full-year organic-growth and EPS outlook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Recurring revenue, bookings, and retention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Deltek / DAT / Neptune commentary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Software and TEP margin trajectory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Evidence of AI monetization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Capital allocation: buybacks versus M&amp;A</w:t>
      </w:r>
    </w:p>
    <w:p>
      <w:pPr>
        <w:pStyle w:val="FirstParagraph"/>
      </w:pPr>
      <w:r>
        <w:t xml:space="preserve">A maintained or raised outlook accompanied by durable software KPIs should be enough to support the stock after its recent pullback. Conversely, a guide cut—or evidence that weakness has broadened beyond the pre-announced 2Q timing effects—would likely outweigh an EPS beat.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2026-07-23T00:12:54Z</dcterms:created>
  <dcterms:modified xsi:type="dcterms:W3CDTF">2026-07-23T00:12:54Z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