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Roper Technologies (ROP) — Q2 2026 Earnings Preview</w:t>
      </w:r>
    </w:p>
    <w:p>
      <w:r>
        <w:rPr>
          <w:rFonts w:ascii="Calibri" w:hAnsi="Calibri"/>
          <w:b/>
          <w:color w:val="525866"/>
          <w:sz w:val="22"/>
        </w:rPr>
        <w:t xml:space="preserve">Company: </w:t>
      </w:r>
      <w:r>
        <w:rPr>
          <w:rFonts w:ascii="Calibri" w:hAnsi="Calibri"/>
          <w:color w:val="525866"/>
          <w:sz w:val="22"/>
        </w:rPr>
        <w:t xml:space="preserve">Roper Technologies, Inc. (NASDAQ: ROP)   </w:t>
      </w:r>
      <w:r>
        <w:rPr>
          <w:rFonts w:ascii="Calibri" w:hAnsi="Calibri"/>
          <w:b/>
          <w:color w:val="525866"/>
          <w:sz w:val="22"/>
        </w:rPr>
        <w:t xml:space="preserve">Earnings Date: </w:t>
      </w:r>
      <w:r>
        <w:rPr>
          <w:rFonts w:ascii="Calibri" w:hAnsi="Calibri"/>
          <w:color w:val="525866"/>
          <w:sz w:val="22"/>
        </w:rPr>
        <w:t xml:space="preserve">July 23, 2026 (before market open)   </w:t>
      </w:r>
      <w:r>
        <w:rPr>
          <w:rFonts w:ascii="Calibri" w:hAnsi="Calibri"/>
          <w:b/>
          <w:color w:val="525866"/>
          <w:sz w:val="22"/>
        </w:rPr>
        <w:t xml:space="preserve">Prepared: </w:t>
      </w:r>
      <w:r>
        <w:rPr>
          <w:rFonts w:ascii="Calibri" w:hAnsi="Calibri"/>
          <w:color w:val="525866"/>
          <w:sz w:val="22"/>
        </w:rPr>
        <w:t>July 22,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The setup into Q2 2026 is modestly constructive — consensus sits near the low end of management's guided range, the bar is achievable, and the biggest swing factor is whether organic growth in Application Software can offset the known Q2 timing headwind in nonrecurring perpetual revenue.</w:t>
      </w:r>
    </w:p>
    <w:p>
      <w:r>
        <w:rPr>
          <w:rFonts w:ascii="Calibri" w:hAnsi="Calibri"/>
          <w:color w:val="525866"/>
          <w:sz w:val="22"/>
        </w:rPr>
        <w:t xml:space="preserve">Heading into Q2 2026, the bar for Roper is manageable: consensus DEPS of ~$5.28 sits just below the midpoint of management's guided range of $5.25–$5.30, and revenue consensus of ~$2.10B implies ~8% total growth, consistent with the full-year framework. </w:t>
      </w:r>
      <w:r>
        <w:rPr>
          <w:rFonts w:ascii="Calibri" w:hAnsi="Calibri"/>
          <w:color w:val="525866"/>
          <w:sz w:val="22"/>
        </w:rPr>
        <w:t xml:space="preserve">Management's tone on the Q1 call was constructive but deliberately conservative — no GovCon recovery, no DAT freight recovery, and no Neptune rebound are baked into guidance, leaving meaningful optionality to the upside if any of those segments inflect. </w:t>
      </w:r>
      <w:r>
        <w:rPr>
          <w:rFonts w:ascii="Calibri" w:hAnsi="Calibri"/>
          <w:color w:val="525866"/>
          <w:sz w:val="22"/>
        </w:rPr>
        <w:t xml:space="preserve">Estimate revisions have been essentially flat since the Q1 print (DEPS consensus moved from $5.31 to $5.28, a modest -0.6% drift), suggesting the Street has largely digested the Q1 beat and guidance raise without chasing numbers higher. </w:t>
      </w:r>
      <w:r>
        <w:rPr>
          <w:rFonts w:ascii="Calibri" w:hAnsi="Calibri"/>
          <w:color w:val="525866"/>
          <w:sz w:val="22"/>
        </w:rPr>
        <w:t xml:space="preserve">The stock has underperformed significantly since last earnings — down ~7.4% vs. IGV +6.5% and SPY +5.5% — trading at a meaningful discount to its historical multiple, which sets up a low-expectations entry point if execution is clean. </w:t>
      </w:r>
      <w:r>
        <w:rPr>
          <w:rFonts w:ascii="Calibri" w:hAnsi="Calibri"/>
          <w:color w:val="525866"/>
          <w:sz w:val="22"/>
        </w:rPr>
        <w:t>The key wildcard is the Deltek GovCon segment: any signal of enterprise deal activity resuming — even a modest uptick in perpetual license bookings — could be the catalyst that re-rates the stock, while a further delay would confirm the bear case that the portfolio's most valuable asset is structurally impaired.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Consensus is a low-to-fair bar — DEPS of $5.28 sits just below the guided midpoint of $5.275, and organic growth of ~4.3% is below management's full-year 5–6% framework, leaving room for a beat if Application Software timing normalizes and TEP holds its Q1 momentum.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(Q1 2026)</w:t>
            </w:r>
          </w:p>
        </w:tc>
        <w:tc>
          <w:tcPr>
            <w:tcW w:type="dxa" w:w="1234"/>
          </w:tcPr>
          <w:p>
            <w:r>
              <w:rPr>
                <w:rFonts w:ascii="Calibri" w:hAnsi="Calibri"/>
                <w:b/>
                <w:sz w:val="22"/>
              </w:rPr>
              <w:t>Prior Year Period (Q2 2025 Actual)</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Management Guidance</w:t>
            </w:r>
          </w:p>
        </w:tc>
        <w:tc>
          <w:tcPr>
            <w:tcW w:type="dxa" w:w="1234"/>
          </w:tcPr>
          <w:p>
            <w:r>
              <w:rPr>
                <w:rFonts w:ascii="Calibri" w:hAnsi="Calibri"/>
                <w:b/>
                <w:sz w:val="22"/>
              </w:rPr>
              <w:t>Consensus vs. Guidance</w:t>
            </w:r>
          </w:p>
        </w:tc>
      </w:tr>
      <w:tr>
        <w:tc>
          <w:tcPr>
            <w:tcW w:type="dxa" w:w="1234"/>
          </w:tcPr>
          <w:p>
            <w:r>
              <w:rPr>
                <w:rFonts w:ascii="Calibri" w:hAnsi="Calibri"/>
                <w:sz w:val="22"/>
              </w:rPr>
              <w:t>Revenue (Net Sales)</w:t>
            </w:r>
          </w:p>
        </w:tc>
        <w:tc>
          <w:tcPr>
            <w:tcW w:type="dxa" w:w="1234"/>
          </w:tcPr>
          <w:p>
            <w:r>
              <w:rPr>
                <w:rFonts w:ascii="Calibri" w:hAnsi="Calibri"/>
                <w:sz w:val="22"/>
              </w:rPr>
              <w:t>$2,095M</w:t>
            </w:r>
          </w:p>
        </w:tc>
        <w:tc>
          <w:tcPr>
            <w:tcW w:type="dxa" w:w="1234"/>
          </w:tcPr>
          <w:p>
            <w:r>
              <w:rPr>
                <w:rFonts w:ascii="Calibri" w:hAnsi="Calibri"/>
                <w:sz w:val="22"/>
              </w:rPr>
              <w:t>$1,944M</w:t>
            </w:r>
          </w:p>
        </w:tc>
        <w:tc>
          <w:tcPr>
            <w:tcW w:type="dxa" w:w="1234"/>
          </w:tcPr>
          <w:p>
            <w:r>
              <w:rPr>
                <w:rFonts w:ascii="Calibri" w:hAnsi="Calibri"/>
                <w:sz w:val="22"/>
              </w:rPr>
              <w:t>$2,097M</w:t>
            </w:r>
          </w:p>
        </w:tc>
        <w:tc>
          <w:tcPr>
            <w:tcW w:type="dxa" w:w="1234"/>
          </w:tcPr>
          <w:p>
            <w:r>
              <w:rPr>
                <w:rFonts w:ascii="Calibri" w:hAnsi="Calibri"/>
                <w:sz w:val="22"/>
              </w:rPr>
              <w:t>+7.9%</w:t>
            </w:r>
          </w:p>
        </w:tc>
        <w:tc>
          <w:tcPr>
            <w:tcW w:type="dxa" w:w="1234"/>
          </w:tcPr>
          <w:p>
            <w:r>
              <w:rPr>
                <w:rFonts w:ascii="Calibri" w:hAnsi="Calibri"/>
                <w:sz w:val="22"/>
              </w:rPr>
              <w:t>~8% total growth (FY)</w:t>
            </w:r>
          </w:p>
        </w:tc>
        <w:tc>
          <w:tcPr>
            <w:tcW w:type="dxa" w:w="1234"/>
          </w:tcPr>
          <w:p>
            <w:r>
              <w:rPr>
                <w:rFonts w:ascii="Calibri" w:hAnsi="Calibri"/>
                <w:sz w:val="22"/>
              </w:rPr>
              <w:t>In line</w:t>
            </w:r>
          </w:p>
        </w:tc>
      </w:tr>
      <w:tr>
        <w:tc>
          <w:tcPr>
            <w:tcW w:type="dxa" w:w="1234"/>
          </w:tcPr>
          <w:p>
            <w:r>
              <w:rPr>
                <w:rFonts w:ascii="Calibri" w:hAnsi="Calibri"/>
                <w:sz w:val="22"/>
              </w:rPr>
              <w:t>Adj. DEPS (Diluted EPS — Operating)</w:t>
            </w:r>
          </w:p>
        </w:tc>
        <w:tc>
          <w:tcPr>
            <w:tcW w:type="dxa" w:w="1234"/>
          </w:tcPr>
          <w:p>
            <w:r>
              <w:rPr>
                <w:rFonts w:ascii="Calibri" w:hAnsi="Calibri"/>
                <w:sz w:val="22"/>
              </w:rPr>
              <w:t>$5.16</w:t>
            </w:r>
          </w:p>
        </w:tc>
        <w:tc>
          <w:tcPr>
            <w:tcW w:type="dxa" w:w="1234"/>
          </w:tcPr>
          <w:p>
            <w:r>
              <w:rPr>
                <w:rFonts w:ascii="Calibri" w:hAnsi="Calibri"/>
                <w:sz w:val="22"/>
              </w:rPr>
              <w:t>$4.87</w:t>
            </w:r>
          </w:p>
        </w:tc>
        <w:tc>
          <w:tcPr>
            <w:tcW w:type="dxa" w:w="1234"/>
          </w:tcPr>
          <w:p>
            <w:r>
              <w:rPr>
                <w:rFonts w:ascii="Calibri" w:hAnsi="Calibri"/>
                <w:sz w:val="22"/>
              </w:rPr>
              <w:t>$5.28</w:t>
            </w:r>
          </w:p>
        </w:tc>
        <w:tc>
          <w:tcPr>
            <w:tcW w:type="dxa" w:w="1234"/>
          </w:tcPr>
          <w:p>
            <w:r>
              <w:rPr>
                <w:rFonts w:ascii="Calibri" w:hAnsi="Calibri"/>
                <w:sz w:val="22"/>
              </w:rPr>
              <w:t>+8.4%</w:t>
            </w:r>
          </w:p>
        </w:tc>
        <w:tc>
          <w:tcPr>
            <w:tcW w:type="dxa" w:w="1234"/>
          </w:tcPr>
          <w:p>
            <w:r>
              <w:rPr>
                <w:rFonts w:ascii="Calibri" w:hAnsi="Calibri"/>
                <w:sz w:val="22"/>
              </w:rPr>
              <w:t>$5.25–$5.30 (mid: $5.275)</w:t>
            </w:r>
          </w:p>
        </w:tc>
        <w:tc>
          <w:tcPr>
            <w:tcW w:type="dxa" w:w="1234"/>
          </w:tcPr>
          <w:p>
            <w:r>
              <w:rPr>
                <w:rFonts w:ascii="Calibri" w:hAnsi="Calibri"/>
                <w:sz w:val="22"/>
              </w:rPr>
              <w:t>+0.1% above mid</w:t>
            </w:r>
          </w:p>
        </w:tc>
      </w:tr>
      <w:tr>
        <w:tc>
          <w:tcPr>
            <w:tcW w:type="dxa" w:w="1234"/>
          </w:tcPr>
          <w:p>
            <w:r>
              <w:rPr>
                <w:rFonts w:ascii="Calibri" w:hAnsi="Calibri"/>
                <w:sz w:val="22"/>
              </w:rPr>
              <w:t>EBITDA (Operating)</w:t>
            </w:r>
          </w:p>
        </w:tc>
        <w:tc>
          <w:tcPr>
            <w:tcW w:type="dxa" w:w="1234"/>
          </w:tcPr>
          <w:p>
            <w:r>
              <w:rPr>
                <w:rFonts w:ascii="Calibri" w:hAnsi="Calibri"/>
                <w:sz w:val="22"/>
              </w:rPr>
              <w:t>$797M</w:t>
            </w:r>
          </w:p>
        </w:tc>
        <w:tc>
          <w:tcPr>
            <w:tcW w:type="dxa" w:w="1234"/>
          </w:tcPr>
          <w:p>
            <w:r>
              <w:rPr>
                <w:rFonts w:ascii="Calibri" w:hAnsi="Calibri"/>
                <w:sz w:val="22"/>
              </w:rPr>
              <w:t>$775M</w:t>
            </w:r>
          </w:p>
        </w:tc>
        <w:tc>
          <w:tcPr>
            <w:tcW w:type="dxa" w:w="1234"/>
          </w:tcPr>
          <w:p>
            <w:r>
              <w:rPr>
                <w:rFonts w:ascii="Calibri" w:hAnsi="Calibri"/>
                <w:sz w:val="22"/>
              </w:rPr>
              <w:t>$816M</w:t>
            </w:r>
          </w:p>
        </w:tc>
        <w:tc>
          <w:tcPr>
            <w:tcW w:type="dxa" w:w="1234"/>
          </w:tcPr>
          <w:p>
            <w:r>
              <w:rPr>
                <w:rFonts w:ascii="Calibri" w:hAnsi="Calibri"/>
                <w:sz w:val="22"/>
              </w:rPr>
              <w:t>+5.3%</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EBITDA Margin (Operating)</w:t>
            </w:r>
          </w:p>
        </w:tc>
        <w:tc>
          <w:tcPr>
            <w:tcW w:type="dxa" w:w="1234"/>
          </w:tcPr>
          <w:p>
            <w:r>
              <w:rPr>
                <w:rFonts w:ascii="Calibri" w:hAnsi="Calibri"/>
                <w:sz w:val="22"/>
              </w:rPr>
              <w:t>38.0%</w:t>
            </w:r>
          </w:p>
        </w:tc>
        <w:tc>
          <w:tcPr>
            <w:tcW w:type="dxa" w:w="1234"/>
          </w:tcPr>
          <w:p>
            <w:r>
              <w:rPr>
                <w:rFonts w:ascii="Calibri" w:hAnsi="Calibri"/>
                <w:sz w:val="22"/>
              </w:rPr>
              <w:t>39.9%</w:t>
            </w:r>
          </w:p>
        </w:tc>
        <w:tc>
          <w:tcPr>
            <w:tcW w:type="dxa" w:w="1234"/>
          </w:tcPr>
          <w:p>
            <w:r>
              <w:rPr>
                <w:rFonts w:ascii="Calibri" w:hAnsi="Calibri"/>
                <w:sz w:val="22"/>
              </w:rPr>
              <w:t>39.1%</w:t>
            </w:r>
          </w:p>
        </w:tc>
        <w:tc>
          <w:tcPr>
            <w:tcW w:type="dxa" w:w="1234"/>
          </w:tcPr>
          <w:p>
            <w:r>
              <w:rPr>
                <w:rFonts w:ascii="Calibri" w:hAnsi="Calibri"/>
                <w:sz w:val="22"/>
              </w:rPr>
              <w:t>-80 bps YoY</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Organic Revenue Growth</w:t>
            </w:r>
          </w:p>
        </w:tc>
        <w:tc>
          <w:tcPr>
            <w:tcW w:type="dxa" w:w="1234"/>
          </w:tcPr>
          <w:p>
            <w:r>
              <w:rPr>
                <w:rFonts w:ascii="Calibri" w:hAnsi="Calibri"/>
                <w:sz w:val="22"/>
              </w:rPr>
              <w:t>6%</w:t>
            </w:r>
          </w:p>
        </w:tc>
        <w:tc>
          <w:tcPr>
            <w:tcW w:type="dxa" w:w="1234"/>
          </w:tcPr>
          <w:p>
            <w:r>
              <w:rPr>
                <w:rFonts w:ascii="Calibri" w:hAnsi="Calibri"/>
                <w:sz w:val="22"/>
              </w:rPr>
              <w:t>7%</w:t>
            </w:r>
          </w:p>
        </w:tc>
        <w:tc>
          <w:tcPr>
            <w:tcW w:type="dxa" w:w="1234"/>
          </w:tcPr>
          <w:p>
            <w:r>
              <w:rPr>
                <w:rFonts w:ascii="Calibri" w:hAnsi="Calibri"/>
                <w:sz w:val="22"/>
              </w:rPr>
              <w:t>~4.3%</w:t>
            </w:r>
          </w:p>
        </w:tc>
        <w:tc>
          <w:tcPr>
            <w:tcW w:type="dxa" w:w="1234"/>
          </w:tcPr>
          <w:p>
            <w:r>
              <w:rPr>
                <w:rFonts w:ascii="Calibri" w:hAnsi="Calibri"/>
                <w:sz w:val="22"/>
              </w:rPr>
              <w:t>-270 bps YoY</w:t>
            </w:r>
          </w:p>
        </w:tc>
        <w:tc>
          <w:tcPr>
            <w:tcW w:type="dxa" w:w="1234"/>
          </w:tcPr>
          <w:p>
            <w:r>
              <w:rPr>
                <w:rFonts w:ascii="Calibri" w:hAnsi="Calibri"/>
                <w:sz w:val="22"/>
              </w:rPr>
              <w:t>5–6% FY; lower in Q2 on timing</w:t>
            </w:r>
          </w:p>
        </w:tc>
        <w:tc>
          <w:tcPr>
            <w:tcW w:type="dxa" w:w="1234"/>
          </w:tcPr>
          <w:p>
            <w:r>
              <w:rPr>
                <w:rFonts w:ascii="Calibri" w:hAnsi="Calibri"/>
                <w:sz w:val="22"/>
              </w:rPr>
              <w:t>Below FY guide; in line with Q2 commentary</w:t>
            </w:r>
          </w:p>
        </w:tc>
      </w:tr>
      <w:tr>
        <w:tc>
          <w:tcPr>
            <w:tcW w:type="dxa" w:w="1234"/>
          </w:tcPr>
          <w:p>
            <w:r>
              <w:rPr>
                <w:rFonts w:ascii="Calibri" w:hAnsi="Calibri"/>
                <w:sz w:val="22"/>
              </w:rPr>
              <w:t>Free Cash Flow</w:t>
            </w:r>
          </w:p>
        </w:tc>
        <w:tc>
          <w:tcPr>
            <w:tcW w:type="dxa" w:w="1234"/>
          </w:tcPr>
          <w:p>
            <w:r>
              <w:rPr>
                <w:rFonts w:ascii="Calibri" w:hAnsi="Calibri"/>
                <w:sz w:val="22"/>
              </w:rPr>
              <w:t>$562M</w:t>
            </w:r>
          </w:p>
        </w:tc>
        <w:tc>
          <w:tcPr>
            <w:tcW w:type="dxa" w:w="1234"/>
          </w:tcPr>
          <w:p>
            <w:r>
              <w:rPr>
                <w:rFonts w:ascii="Calibri" w:hAnsi="Calibri"/>
                <w:sz w:val="22"/>
              </w:rPr>
              <w:t>$373M</w:t>
            </w:r>
          </w:p>
        </w:tc>
        <w:tc>
          <w:tcPr>
            <w:tcW w:type="dxa" w:w="1234"/>
          </w:tcPr>
          <w:p>
            <w:r>
              <w:rPr>
                <w:rFonts w:ascii="Calibri" w:hAnsi="Calibri"/>
                <w:sz w:val="22"/>
              </w:rPr>
              <w:t>$537M</w:t>
            </w:r>
          </w:p>
        </w:tc>
        <w:tc>
          <w:tcPr>
            <w:tcW w:type="dxa" w:w="1234"/>
          </w:tcPr>
          <w:p>
            <w:r>
              <w:rPr>
                <w:rFonts w:ascii="Calibri" w:hAnsi="Calibri"/>
                <w:sz w:val="22"/>
              </w:rPr>
              <w:t>+44%</w:t>
            </w:r>
          </w:p>
        </w:tc>
        <w:tc>
          <w:tcPr>
            <w:tcW w:type="dxa" w:w="1234"/>
          </w:tcPr>
          <w:p>
            <w:r>
              <w:rPr>
                <w:rFonts w:ascii="Calibri" w:hAnsi="Calibri"/>
                <w:sz w:val="22"/>
              </w:rPr>
              <w:t>N/A — not guided quarterly</w:t>
            </w:r>
          </w:p>
        </w:tc>
        <w:tc>
          <w:tcPr>
            <w:tcW w:type="dxa" w:w="1234"/>
          </w:tcPr>
          <w:p>
            <w:r>
              <w:rPr>
                <w:rFonts w:ascii="Calibri" w:hAnsi="Calibri"/>
                <w:sz w:val="22"/>
              </w:rPr>
              <w:t>N/A</w:t>
            </w:r>
          </w:p>
        </w:tc>
      </w:tr>
    </w:tbl>
    <w:p>
      <w:r>
        <w:rPr>
          <w:rFonts w:ascii="Calibri" w:hAnsi="Calibri"/>
          <w:i/>
          <w:color w:val="525866"/>
          <w:sz w:val="22"/>
        </w:rPr>
        <w:t>Sources: Visible Alpha Consensus and Actuals Data; ROP Q1 2026 Earnings Call (April 23, 2026). Q2 2026 consensus figures as of July 22, 2026. Q1 2026 actuals and Q2 2025 actuals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Adj. DEPS (Diluted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 %</w:t>
            </w:r>
          </w:p>
        </w:tc>
        <w:tc>
          <w:tcPr>
            <w:tcW w:type="dxa" w:w="1728"/>
          </w:tcPr>
          <w:p>
            <w:r>
              <w:rPr>
                <w:rFonts w:ascii="Calibri" w:hAnsi="Calibri"/>
                <w:b/>
                <w:sz w:val="22"/>
              </w:rPr>
              <w:t>Result</w:t>
            </w:r>
          </w:p>
        </w:tc>
      </w:tr>
      <w:tr>
        <w:tc>
          <w:tcPr>
            <w:tcW w:type="dxa" w:w="1728"/>
          </w:tcPr>
          <w:p>
            <w:r>
              <w:rPr>
                <w:rFonts w:ascii="Calibri" w:hAnsi="Calibri"/>
                <w:sz w:val="22"/>
              </w:rPr>
              <w:t>Q1 2026</w:t>
            </w:r>
          </w:p>
        </w:tc>
        <w:tc>
          <w:tcPr>
            <w:tcW w:type="dxa" w:w="1728"/>
          </w:tcPr>
          <w:p>
            <w:r>
              <w:rPr>
                <w:rFonts w:ascii="Calibri" w:hAnsi="Calibri"/>
                <w:sz w:val="22"/>
              </w:rPr>
              <w:t>$5.155</w:t>
            </w:r>
          </w:p>
        </w:tc>
        <w:tc>
          <w:tcPr>
            <w:tcW w:type="dxa" w:w="1728"/>
          </w:tcPr>
          <w:p>
            <w:r>
              <w:rPr>
                <w:rFonts w:ascii="Calibri" w:hAnsi="Calibri"/>
                <w:sz w:val="22"/>
              </w:rPr>
              <w:t>$4.990</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$5.208</w:t>
            </w:r>
          </w:p>
        </w:tc>
        <w:tc>
          <w:tcPr>
            <w:tcW w:type="dxa" w:w="1728"/>
          </w:tcPr>
          <w:p>
            <w:r>
              <w:rPr>
                <w:rFonts w:ascii="Calibri" w:hAnsi="Calibri"/>
                <w:sz w:val="22"/>
              </w:rPr>
              <w:t>$5.138</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$5.144</w:t>
            </w:r>
          </w:p>
        </w:tc>
        <w:tc>
          <w:tcPr>
            <w:tcW w:type="dxa" w:w="1728"/>
          </w:tcPr>
          <w:p>
            <w:r>
              <w:rPr>
                <w:rFonts w:ascii="Calibri" w:hAnsi="Calibri"/>
                <w:sz w:val="22"/>
              </w:rPr>
              <w:t>$5.113</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$4.874</w:t>
            </w:r>
          </w:p>
        </w:tc>
        <w:tc>
          <w:tcPr>
            <w:tcW w:type="dxa" w:w="1728"/>
          </w:tcPr>
          <w:p>
            <w:r>
              <w:rPr>
                <w:rFonts w:ascii="Calibri" w:hAnsi="Calibri"/>
                <w:sz w:val="22"/>
              </w:rPr>
              <w:t>$4.820</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$4.778</w:t>
            </w:r>
          </w:p>
        </w:tc>
        <w:tc>
          <w:tcPr>
            <w:tcW w:type="dxa" w:w="1728"/>
          </w:tcPr>
          <w:p>
            <w:r>
              <w:rPr>
                <w:rFonts w:ascii="Calibri" w:hAnsi="Calibri"/>
                <w:sz w:val="22"/>
              </w:rPr>
              <w:t>$4.735</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$4.810</w:t>
            </w:r>
          </w:p>
        </w:tc>
        <w:tc>
          <w:tcPr>
            <w:tcW w:type="dxa" w:w="1728"/>
          </w:tcPr>
          <w:p>
            <w:r>
              <w:rPr>
                <w:rFonts w:ascii="Calibri" w:hAnsi="Calibri"/>
                <w:sz w:val="22"/>
              </w:rPr>
              <w:t>$4.757</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$4.616</w:t>
            </w:r>
          </w:p>
        </w:tc>
        <w:tc>
          <w:tcPr>
            <w:tcW w:type="dxa" w:w="1728"/>
          </w:tcPr>
          <w:p>
            <w:r>
              <w:rPr>
                <w:rFonts w:ascii="Calibri" w:hAnsi="Calibri"/>
                <w:sz w:val="22"/>
              </w:rPr>
              <w:t>$4.524</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$4.476</w:t>
            </w:r>
          </w:p>
        </w:tc>
        <w:tc>
          <w:tcPr>
            <w:tcW w:type="dxa" w:w="1728"/>
          </w:tcPr>
          <w:p>
            <w:r>
              <w:rPr>
                <w:rFonts w:ascii="Calibri" w:hAnsi="Calibri"/>
                <w:sz w:val="22"/>
              </w:rPr>
              <w:t>$4.475</w:t>
            </w:r>
          </w:p>
        </w:tc>
        <w:tc>
          <w:tcPr>
            <w:tcW w:type="dxa" w:w="1728"/>
          </w:tcPr>
          <w:p>
            <w:r>
              <w:rPr>
                <w:rFonts w:ascii="Calibri" w:hAnsi="Calibri"/>
                <w:sz w:val="22"/>
              </w:rPr>
              <w:t>+0.0%</w:t>
            </w:r>
          </w:p>
        </w:tc>
        <w:tc>
          <w:tcPr>
            <w:tcW w:type="dxa" w:w="1728"/>
          </w:tcPr>
          <w:p>
            <w:r>
              <w:rPr>
                <w:rFonts w:ascii="Calibri" w:hAnsi="Calibri"/>
                <w:sz w:val="22"/>
              </w:rPr>
              <w:t>In Line</w:t>
            </w:r>
          </w:p>
        </w:tc>
      </w:tr>
    </w:tbl>
    <w:p>
      <w:r>
        <w:rPr>
          <w:rFonts w:ascii="Calibri" w:hAnsi="Calibri"/>
          <w:i/>
          <w:color w:val="525866"/>
          <w:sz w:val="22"/>
        </w:rPr>
        <w:t>ROP has beaten DEPS consensus in 7 of the last 8 quarters, with an average positive surprise of ~1.3%; the Q1 2026 beat of +3.3% was the largest in the trailing 8-quarter window, driven by stronger organic growth, a lower tax rate, and buyback-driven share count reduction.</w:t>
      </w:r>
    </w:p>
    <w:p>
      <w:pPr>
        <w:pStyle w:val="Heading4"/>
      </w:pPr>
      <w:r>
        <w:rPr>
          <w:rFonts w:ascii="Calibri" w:hAnsi="Calibri"/>
          <w:b/>
          <w:color w:val="3B4259"/>
          <w:sz w:val="22"/>
        </w:rPr>
        <w:t>Top KPI #2: Organic Revenue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Quarter</w:t>
            </w:r>
          </w:p>
        </w:tc>
        <w:tc>
          <w:tcPr>
            <w:tcW w:type="dxa" w:w="1728"/>
          </w:tcPr>
          <w:p>
            <w:r>
              <w:rPr>
                <w:rFonts w:ascii="Calibri" w:hAnsi="Calibri"/>
                <w:b/>
                <w:sz w:val="22"/>
              </w:rPr>
              <w:t>Reported</w:t>
            </w:r>
          </w:p>
        </w:tc>
        <w:tc>
          <w:tcPr>
            <w:tcW w:type="dxa" w:w="1728"/>
          </w:tcPr>
          <w:p>
            <w:r>
              <w:rPr>
                <w:rFonts w:ascii="Calibri" w:hAnsi="Calibri"/>
                <w:b/>
                <w:sz w:val="22"/>
              </w:rPr>
              <w:t>Consensus</w:t>
            </w:r>
          </w:p>
        </w:tc>
        <w:tc>
          <w:tcPr>
            <w:tcW w:type="dxa" w:w="1728"/>
          </w:tcPr>
          <w:p>
            <w:r>
              <w:rPr>
                <w:rFonts w:ascii="Calibri" w:hAnsi="Calibri"/>
                <w:b/>
                <w:sz w:val="22"/>
              </w:rPr>
              <w:t>Surprise (bps)</w:t>
            </w:r>
          </w:p>
        </w:tc>
        <w:tc>
          <w:tcPr>
            <w:tcW w:type="dxa" w:w="1728"/>
          </w:tcPr>
          <w:p>
            <w:r>
              <w:rPr>
                <w:rFonts w:ascii="Calibri" w:hAnsi="Calibri"/>
                <w:b/>
                <w:sz w:val="22"/>
              </w:rPr>
              <w:t>Result</w:t>
            </w:r>
          </w:p>
        </w:tc>
      </w:tr>
      <w:tr>
        <w:tc>
          <w:tcPr>
            <w:tcW w:type="dxa" w:w="1728"/>
          </w:tcPr>
          <w:p>
            <w:r>
              <w:rPr>
                <w:rFonts w:ascii="Calibri" w:hAnsi="Calibri"/>
                <w:sz w:val="22"/>
              </w:rPr>
              <w:t>Q1 2026</w:t>
            </w:r>
          </w:p>
        </w:tc>
        <w:tc>
          <w:tcPr>
            <w:tcW w:type="dxa" w:w="1728"/>
          </w:tcPr>
          <w:p>
            <w:r>
              <w:rPr>
                <w:rFonts w:ascii="Calibri" w:hAnsi="Calibri"/>
                <w:sz w:val="22"/>
              </w:rPr>
              <w:t>6%</w:t>
            </w:r>
          </w:p>
        </w:tc>
        <w:tc>
          <w:tcPr>
            <w:tcW w:type="dxa" w:w="1728"/>
          </w:tcPr>
          <w:p>
            <w:r>
              <w:rPr>
                <w:rFonts w:ascii="Calibri" w:hAnsi="Calibri"/>
                <w:sz w:val="22"/>
              </w:rPr>
              <w:t>4.6%</w:t>
            </w:r>
          </w:p>
        </w:tc>
        <w:tc>
          <w:tcPr>
            <w:tcW w:type="dxa" w:w="1728"/>
          </w:tcPr>
          <w:p>
            <w:r>
              <w:rPr>
                <w:rFonts w:ascii="Calibri" w:hAnsi="Calibri"/>
                <w:b/>
                <w:color w:val="30A46C"/>
                <w:sz w:val="22"/>
              </w:rPr>
              <w:t>+140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w:t>
            </w:r>
          </w:p>
        </w:tc>
        <w:tc>
          <w:tcPr>
            <w:tcW w:type="dxa" w:w="1728"/>
          </w:tcPr>
          <w:p>
            <w:r>
              <w:rPr>
                <w:rFonts w:ascii="Calibri" w:hAnsi="Calibri"/>
                <w:sz w:val="22"/>
              </w:rPr>
              <w:t>5.3%</w:t>
            </w:r>
          </w:p>
        </w:tc>
        <w:tc>
          <w:tcPr>
            <w:tcW w:type="dxa" w:w="1728"/>
          </w:tcPr>
          <w:p>
            <w:r>
              <w:rPr>
                <w:rFonts w:ascii="Calibri" w:hAnsi="Calibri"/>
                <w:b/>
                <w:color w:val="E5484D"/>
                <w:sz w:val="22"/>
              </w:rPr>
              <w:t>-130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6%</w:t>
            </w:r>
          </w:p>
        </w:tc>
        <w:tc>
          <w:tcPr>
            <w:tcW w:type="dxa" w:w="1728"/>
          </w:tcPr>
          <w:p>
            <w:r>
              <w:rPr>
                <w:rFonts w:ascii="Calibri" w:hAnsi="Calibri"/>
                <w:sz w:val="22"/>
              </w:rPr>
              <w:t>7.7%</w:t>
            </w:r>
          </w:p>
        </w:tc>
        <w:tc>
          <w:tcPr>
            <w:tcW w:type="dxa" w:w="1728"/>
          </w:tcPr>
          <w:p>
            <w:r>
              <w:rPr>
                <w:rFonts w:ascii="Calibri" w:hAnsi="Calibri"/>
                <w:b/>
                <w:color w:val="E5484D"/>
                <w:sz w:val="22"/>
              </w:rPr>
              <w:t>-170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7%</w:t>
            </w:r>
          </w:p>
        </w:tc>
        <w:tc>
          <w:tcPr>
            <w:tcW w:type="dxa" w:w="1728"/>
          </w:tcPr>
          <w:p>
            <w:r>
              <w:rPr>
                <w:rFonts w:ascii="Calibri" w:hAnsi="Calibri"/>
                <w:sz w:val="22"/>
              </w:rPr>
              <w:t>6.3%</w:t>
            </w:r>
          </w:p>
        </w:tc>
        <w:tc>
          <w:tcPr>
            <w:tcW w:type="dxa" w:w="1728"/>
          </w:tcPr>
          <w:p>
            <w:r>
              <w:rPr>
                <w:rFonts w:ascii="Calibri" w:hAnsi="Calibri"/>
                <w:b/>
                <w:color w:val="30A46C"/>
                <w:sz w:val="22"/>
              </w:rPr>
              <w:t>+70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w:t>
            </w:r>
          </w:p>
        </w:tc>
        <w:tc>
          <w:tcPr>
            <w:tcW w:type="dxa" w:w="1728"/>
          </w:tcPr>
          <w:p>
            <w:r>
              <w:rPr>
                <w:rFonts w:ascii="Calibri" w:hAnsi="Calibri"/>
                <w:sz w:val="22"/>
              </w:rPr>
              <w:t>5.0%</w:t>
            </w:r>
          </w:p>
        </w:tc>
        <w:tc>
          <w:tcPr>
            <w:tcW w:type="dxa" w:w="1728"/>
          </w:tcPr>
          <w:p>
            <w:r>
              <w:rPr>
                <w:rFonts w:ascii="Calibri" w:hAnsi="Calibri"/>
                <w:sz w:val="22"/>
              </w:rPr>
              <w:t>0 bps</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7%</w:t>
            </w:r>
          </w:p>
        </w:tc>
        <w:tc>
          <w:tcPr>
            <w:tcW w:type="dxa" w:w="1728"/>
          </w:tcPr>
          <w:p>
            <w:r>
              <w:rPr>
                <w:rFonts w:ascii="Calibri" w:hAnsi="Calibri"/>
                <w:sz w:val="22"/>
              </w:rPr>
              <w:t>5.7%</w:t>
            </w:r>
          </w:p>
        </w:tc>
        <w:tc>
          <w:tcPr>
            <w:tcW w:type="dxa" w:w="1728"/>
          </w:tcPr>
          <w:p>
            <w:r>
              <w:rPr>
                <w:rFonts w:ascii="Calibri" w:hAnsi="Calibri"/>
                <w:b/>
                <w:color w:val="30A46C"/>
                <w:sz w:val="22"/>
              </w:rPr>
              <w:t>+130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w:t>
            </w:r>
          </w:p>
        </w:tc>
        <w:tc>
          <w:tcPr>
            <w:tcW w:type="dxa" w:w="1728"/>
          </w:tcPr>
          <w:p>
            <w:r>
              <w:rPr>
                <w:rFonts w:ascii="Calibri" w:hAnsi="Calibri"/>
                <w:sz w:val="22"/>
              </w:rPr>
              <w:t>4.7%</w:t>
            </w:r>
          </w:p>
        </w:tc>
        <w:tc>
          <w:tcPr>
            <w:tcW w:type="dxa" w:w="1728"/>
          </w:tcPr>
          <w:p>
            <w:r>
              <w:rPr>
                <w:rFonts w:ascii="Calibri" w:hAnsi="Calibri"/>
                <w:b/>
                <w:color w:val="E5484D"/>
                <w:sz w:val="22"/>
              </w:rPr>
              <w:t>-70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4%</w:t>
            </w:r>
          </w:p>
        </w:tc>
        <w:tc>
          <w:tcPr>
            <w:tcW w:type="dxa" w:w="1728"/>
          </w:tcPr>
          <w:p>
            <w:r>
              <w:rPr>
                <w:rFonts w:ascii="Calibri" w:hAnsi="Calibri"/>
                <w:sz w:val="22"/>
              </w:rPr>
              <w:t>5.0%</w:t>
            </w:r>
          </w:p>
        </w:tc>
        <w:tc>
          <w:tcPr>
            <w:tcW w:type="dxa" w:w="1728"/>
          </w:tcPr>
          <w:p>
            <w:r>
              <w:rPr>
                <w:rFonts w:ascii="Calibri" w:hAnsi="Calibri"/>
                <w:b/>
                <w:color w:val="E5484D"/>
                <w:sz w:val="22"/>
              </w:rPr>
              <w:t>-100 bps</w:t>
            </w:r>
          </w:p>
        </w:tc>
        <w:tc>
          <w:tcPr>
            <w:tcW w:type="dxa" w:w="1728"/>
          </w:tcPr>
          <w:p>
            <w:r>
              <w:rPr>
                <w:rFonts w:ascii="Calibri" w:hAnsi="Calibri"/>
                <w:b/>
                <w:color w:val="E5484D"/>
                <w:sz w:val="22"/>
              </w:rPr>
              <w:t>Miss</w:t>
            </w:r>
          </w:p>
        </w:tc>
      </w:tr>
    </w:tbl>
    <w:p>
      <w:r>
        <w:rPr>
          <w:rFonts w:ascii="Calibri" w:hAnsi="Calibri"/>
          <w:i/>
          <w:color w:val="525866"/>
          <w:sz w:val="22"/>
        </w:rPr>
        <w:t>Organic growth has been the more volatile KPI — ROP has beaten in 4 of the last 8 quarters and missed in 4, with the Q1 2026 beat of +140 bps being the largest positive surprise in the window; the Q2 2026 consensus of ~4.3% is well below the full-year 5–6% guide, reflecting management's explicit warning of a timing-driven Q2 dip in Application Software nonrecurring perpetual revenue.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Management's posture is unchanged since the Q1 call — guidance was raised meaningfully post-Q1 but no further updates have been issued; the tone remains deliberately conservative with no recovery assumptions baked in for Deltek GovCon, DAT freight, or Neptune.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23)</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Q2 2026 Adj. DEPS</w:t>
            </w:r>
          </w:p>
        </w:tc>
        <w:tc>
          <w:tcPr>
            <w:tcW w:type="dxa" w:w="1728"/>
          </w:tcPr>
          <w:p>
            <w:r>
              <w:rPr>
                <w:rFonts w:ascii="Calibri" w:hAnsi="Calibri"/>
                <w:sz w:val="22"/>
              </w:rPr>
              <w:t>$5.25–$5.30</w:t>
            </w:r>
          </w:p>
        </w:tc>
        <w:tc>
          <w:tcPr>
            <w:tcW w:type="dxa" w:w="1728"/>
          </w:tcPr>
          <w:p>
            <w:r>
              <w:rPr>
                <w:rFonts w:ascii="Calibri" w:hAnsi="Calibri"/>
                <w:sz w:val="22"/>
              </w:rPr>
              <w:t>—</w:t>
            </w:r>
          </w:p>
        </w:tc>
        <w:tc>
          <w:tcPr>
            <w:tcW w:type="dxa" w:w="1728"/>
          </w:tcPr>
          <w:p>
            <w:r>
              <w:rPr>
                <w:rFonts w:ascii="Calibri" w:hAnsi="Calibri"/>
                <w:sz w:val="22"/>
              </w:rPr>
              <w:t>$5.28</w:t>
            </w:r>
          </w:p>
        </w:tc>
        <w:tc>
          <w:tcPr>
            <w:tcW w:type="dxa" w:w="1728"/>
          </w:tcPr>
          <w:p>
            <w:r>
              <w:rPr>
                <w:rFonts w:ascii="Calibri" w:hAnsi="Calibri"/>
                <w:sz w:val="22"/>
              </w:rPr>
              <w:t>No post-earnings update; consensus sits just above midpoint of $5.275</w:t>
            </w:r>
          </w:p>
        </w:tc>
      </w:tr>
      <w:tr>
        <w:tc>
          <w:tcPr>
            <w:tcW w:type="dxa" w:w="1728"/>
          </w:tcPr>
          <w:p>
            <w:r>
              <w:rPr>
                <w:rFonts w:ascii="Calibri" w:hAnsi="Calibri"/>
                <w:sz w:val="22"/>
              </w:rPr>
              <w:t>FY 2026 Adj. DEPS</w:t>
            </w:r>
          </w:p>
        </w:tc>
        <w:tc>
          <w:tcPr>
            <w:tcW w:type="dxa" w:w="1728"/>
          </w:tcPr>
          <w:p>
            <w:r>
              <w:rPr>
                <w:rFonts w:ascii="Calibri" w:hAnsi="Calibri"/>
                <w:sz w:val="22"/>
              </w:rPr>
              <w:t>$21.80–$22.05 (raised from $21.30–$21.55)</w:t>
            </w:r>
          </w:p>
        </w:tc>
        <w:tc>
          <w:tcPr>
            <w:tcW w:type="dxa" w:w="1728"/>
          </w:tcPr>
          <w:p>
            <w:r>
              <w:rPr>
                <w:rFonts w:ascii="Calibri" w:hAnsi="Calibri"/>
                <w:sz w:val="22"/>
              </w:rPr>
              <w:t>—</w:t>
            </w:r>
          </w:p>
        </w:tc>
        <w:tc>
          <w:tcPr>
            <w:tcW w:type="dxa" w:w="1728"/>
          </w:tcPr>
          <w:p>
            <w:r>
              <w:rPr>
                <w:rFonts w:ascii="Calibri" w:hAnsi="Calibri"/>
                <w:sz w:val="22"/>
              </w:rPr>
              <w:t>$21.94</w:t>
            </w:r>
          </w:p>
        </w:tc>
        <w:tc>
          <w:tcPr>
            <w:tcW w:type="dxa" w:w="1728"/>
          </w:tcPr>
          <w:p>
            <w:r>
              <w:rPr>
                <w:rFonts w:ascii="Calibri" w:hAnsi="Calibri"/>
                <w:sz w:val="22"/>
              </w:rPr>
              <w:t>Raised $0.50 at midpoint on Q1 call; consensus slightly above midpoint of $21.925</w:t>
            </w:r>
          </w:p>
        </w:tc>
      </w:tr>
      <w:tr>
        <w:tc>
          <w:tcPr>
            <w:tcW w:type="dxa" w:w="1728"/>
          </w:tcPr>
          <w:p>
            <w:r>
              <w:rPr>
                <w:rFonts w:ascii="Calibri" w:hAnsi="Calibri"/>
                <w:sz w:val="22"/>
              </w:rPr>
              <w:t>FY 2026 Total Revenue Growth</w:t>
            </w:r>
          </w:p>
        </w:tc>
        <w:tc>
          <w:tcPr>
            <w:tcW w:type="dxa" w:w="1728"/>
          </w:tcPr>
          <w:p>
            <w:r>
              <w:rPr>
                <w:rFonts w:ascii="Calibri" w:hAnsi="Calibri"/>
                <w:sz w:val="22"/>
              </w:rPr>
              <w:t>~8%</w:t>
            </w:r>
          </w:p>
        </w:tc>
        <w:tc>
          <w:tcPr>
            <w:tcW w:type="dxa" w:w="1728"/>
          </w:tcPr>
          <w:p>
            <w:r>
              <w:rPr>
                <w:rFonts w:ascii="Calibri" w:hAnsi="Calibri"/>
                <w:sz w:val="22"/>
              </w:rPr>
              <w:t>—</w:t>
            </w:r>
          </w:p>
        </w:tc>
        <w:tc>
          <w:tcPr>
            <w:tcW w:type="dxa" w:w="1728"/>
          </w:tcPr>
          <w:p>
            <w:r>
              <w:rPr>
                <w:rFonts w:ascii="Calibri" w:hAnsi="Calibri"/>
                <w:sz w:val="22"/>
              </w:rPr>
              <w:t>~8% (implied by $8.55B consensus)</w:t>
            </w:r>
          </w:p>
        </w:tc>
        <w:tc>
          <w:tcPr>
            <w:tcW w:type="dxa" w:w="1728"/>
          </w:tcPr>
          <w:p>
            <w:r>
              <w:rPr>
                <w:rFonts w:ascii="Calibri" w:hAnsi="Calibri"/>
                <w:sz w:val="22"/>
              </w:rPr>
              <w:t>Maintained; no change since Q1 call</w:t>
            </w:r>
          </w:p>
        </w:tc>
      </w:tr>
      <w:tr>
        <w:tc>
          <w:tcPr>
            <w:tcW w:type="dxa" w:w="1728"/>
          </w:tcPr>
          <w:p>
            <w:r>
              <w:rPr>
                <w:rFonts w:ascii="Calibri" w:hAnsi="Calibri"/>
                <w:sz w:val="22"/>
              </w:rPr>
              <w:t>FY 2026 Organic Revenue Growth</w:t>
            </w:r>
          </w:p>
        </w:tc>
        <w:tc>
          <w:tcPr>
            <w:tcW w:type="dxa" w:w="1728"/>
          </w:tcPr>
          <w:p>
            <w:r>
              <w:rPr>
                <w:rFonts w:ascii="Calibri" w:hAnsi="Calibri"/>
                <w:sz w:val="22"/>
              </w:rPr>
              <w:t>5–6%</w:t>
            </w:r>
          </w:p>
        </w:tc>
        <w:tc>
          <w:tcPr>
            <w:tcW w:type="dxa" w:w="1728"/>
          </w:tcPr>
          <w:p>
            <w:r>
              <w:rPr>
                <w:rFonts w:ascii="Calibri" w:hAnsi="Calibri"/>
                <w:sz w:val="22"/>
              </w:rPr>
              <w:t>—</w:t>
            </w:r>
          </w:p>
        </w:tc>
        <w:tc>
          <w:tcPr>
            <w:tcW w:type="dxa" w:w="1728"/>
          </w:tcPr>
          <w:p>
            <w:r>
              <w:rPr>
                <w:rFonts w:ascii="Calibri" w:hAnsi="Calibri"/>
                <w:sz w:val="22"/>
              </w:rPr>
              <w:t>~5.6%</w:t>
            </w:r>
          </w:p>
        </w:tc>
        <w:tc>
          <w:tcPr>
            <w:tcW w:type="dxa" w:w="1728"/>
          </w:tcPr>
          <w:p>
            <w:r>
              <w:rPr>
                <w:rFonts w:ascii="Calibri" w:hAnsi="Calibri"/>
                <w:sz w:val="22"/>
              </w:rPr>
              <w:t>Maintained; consensus within guided range</w:t>
            </w:r>
          </w:p>
        </w:tc>
      </w:tr>
      <w:tr>
        <w:tc>
          <w:tcPr>
            <w:tcW w:type="dxa" w:w="1728"/>
          </w:tcPr>
          <w:p>
            <w:r>
              <w:rPr>
                <w:rFonts w:ascii="Calibri" w:hAnsi="Calibri"/>
                <w:sz w:val="22"/>
              </w:rPr>
              <w:t>Deltek GovCon Recovery</w:t>
            </w:r>
          </w:p>
        </w:tc>
        <w:tc>
          <w:tcPr>
            <w:tcW w:type="dxa" w:w="1728"/>
          </w:tcPr>
          <w:p>
            <w:r>
              <w:rPr>
                <w:rFonts w:ascii="Calibri" w:hAnsi="Calibri"/>
                <w:sz w:val="22"/>
              </w:rPr>
              <w:t>No recovery assumed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explicitly not baking in GovCon inflection or OBBB benefit; will adjust as conditions warrant</w:t>
            </w:r>
          </w:p>
        </w:tc>
      </w:tr>
      <w:tr>
        <w:tc>
          <w:tcPr>
            <w:tcW w:type="dxa" w:w="1728"/>
          </w:tcPr>
          <w:p>
            <w:r>
              <w:rPr>
                <w:rFonts w:ascii="Calibri" w:hAnsi="Calibri"/>
                <w:sz w:val="22"/>
              </w:rPr>
              <w:t>DAT Freight Recovery</w:t>
            </w:r>
          </w:p>
        </w:tc>
        <w:tc>
          <w:tcPr>
            <w:tcW w:type="dxa" w:w="1728"/>
          </w:tcPr>
          <w:p>
            <w:r>
              <w:rPr>
                <w:rFonts w:ascii="Calibri" w:hAnsi="Calibri"/>
                <w:sz w:val="22"/>
              </w:rPr>
              <w:t>No meaningful recovery assumed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Green shoots noted (spot rates +20–30% YoY, carrier ecosystem grew Q1 for first time in years) but diesel spike compressed margins late Q1; no change to guidance posture</w:t>
            </w:r>
          </w:p>
        </w:tc>
      </w:tr>
      <w:tr>
        <w:tc>
          <w:tcPr>
            <w:tcW w:type="dxa" w:w="1728"/>
          </w:tcPr>
          <w:p>
            <w:r>
              <w:rPr>
                <w:rFonts w:ascii="Calibri" w:hAnsi="Calibri"/>
                <w:sz w:val="22"/>
              </w:rPr>
              <w:t>Neptune</w:t>
            </w:r>
          </w:p>
        </w:tc>
        <w:tc>
          <w:tcPr>
            <w:tcW w:type="dxa" w:w="1728"/>
          </w:tcPr>
          <w:p>
            <w:r>
              <w:rPr>
                <w:rFonts w:ascii="Calibri" w:hAnsi="Calibri"/>
                <w:sz w:val="22"/>
              </w:rPr>
              <w:t>Modest top-line weakness vs. prior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Bronze ingot inflation headwind continues; surcharge approach abandoned in favor of regular-way pricing; margin recovery expected to take a couple of quarters</w:t>
            </w:r>
          </w:p>
        </w:tc>
      </w:tr>
      <w:tr>
        <w:tc>
          <w:tcPr>
            <w:tcW w:type="dxa" w:w="1728"/>
          </w:tcPr>
          <w:p>
            <w:r>
              <w:rPr>
                <w:rFonts w:ascii="Calibri" w:hAnsi="Calibri"/>
                <w:sz w:val="22"/>
              </w:rPr>
              <w:t>FY 2026 Tax Rate</w:t>
            </w:r>
          </w:p>
        </w:tc>
        <w:tc>
          <w:tcPr>
            <w:tcW w:type="dxa" w:w="1728"/>
          </w:tcPr>
          <w:p>
            <w:r>
              <w:rPr>
                <w:rFonts w:ascii="Calibri" w:hAnsi="Calibri"/>
                <w:sz w:val="22"/>
              </w:rPr>
              <w:t>~21% (Q2 slightly below)</w:t>
            </w:r>
          </w:p>
        </w:tc>
        <w:tc>
          <w:tcPr>
            <w:tcW w:type="dxa" w:w="1728"/>
          </w:tcPr>
          <w:p>
            <w:r>
              <w:rPr>
                <w:rFonts w:ascii="Calibri" w:hAnsi="Calibri"/>
                <w:sz w:val="22"/>
              </w:rPr>
              <w:t>—</w:t>
            </w:r>
          </w:p>
        </w:tc>
        <w:tc>
          <w:tcPr>
            <w:tcW w:type="dxa" w:w="1728"/>
          </w:tcPr>
          <w:p>
            <w:r>
              <w:rPr>
                <w:rFonts w:ascii="Calibri" w:hAnsi="Calibri"/>
                <w:sz w:val="22"/>
              </w:rPr>
              <w:t>~21%</w:t>
            </w:r>
          </w:p>
        </w:tc>
        <w:tc>
          <w:tcPr>
            <w:tcW w:type="dxa" w:w="1728"/>
          </w:tcPr>
          <w:p>
            <w:r>
              <w:rPr>
                <w:rFonts w:ascii="Calibri" w:hAnsi="Calibri"/>
                <w:sz w:val="22"/>
              </w:rPr>
              <w:t>Unchanged; Q2 tax rate expected slightly below 21%</w:t>
            </w:r>
          </w:p>
        </w:tc>
      </w:tr>
    </w:tbl>
    <w:p>
      <w:r>
        <w:rPr>
          <w:rFonts w:ascii="Calibri" w:hAnsi="Calibri"/>
          <w:i/>
          <w:color w:val="525866"/>
          <w:sz w:val="22"/>
        </w:rPr>
        <w:t>Source: ROP Q1 2026 Earnings Call Transcript (April 23,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have been essentially flat since the Q1 print — DEPS for Q2 drifted down modestly (-0.6%) while FY 2026 DEPS ticked up slightly (+0.03%), suggesting the Street has absorbed the guidance raise without meaningful incremental revision activity; consensus tracks guidance closely with no material divergence.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 Period</w:t>
            </w:r>
          </w:p>
        </w:tc>
        <w:tc>
          <w:tcPr>
            <w:tcW w:type="dxa" w:w="1080"/>
          </w:tcPr>
          <w:p>
            <w:r>
              <w:rPr>
                <w:rFonts w:ascii="Calibri" w:hAnsi="Calibri"/>
                <w:b/>
                <w:sz w:val="22"/>
              </w:rPr>
              <w:t>Estimate ~5 Days Post Q1 Earnings (Apr 28, 2026)</w:t>
            </w:r>
          </w:p>
        </w:tc>
        <w:tc>
          <w:tcPr>
            <w:tcW w:type="dxa" w:w="1080"/>
          </w:tcPr>
          <w:p>
            <w:r>
              <w:rPr>
                <w:rFonts w:ascii="Calibri" w:hAnsi="Calibri"/>
                <w:b/>
                <w:sz w:val="22"/>
              </w:rPr>
              <w:t>Current Consensus (Jul 22,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Adj. DEPS — Q2 2026</w:t>
            </w:r>
          </w:p>
        </w:tc>
        <w:tc>
          <w:tcPr>
            <w:tcW w:type="dxa" w:w="1080"/>
          </w:tcPr>
          <w:p>
            <w:r>
              <w:rPr>
                <w:rFonts w:ascii="Calibri" w:hAnsi="Calibri"/>
                <w:sz w:val="22"/>
              </w:rPr>
              <w:t>$5.31</w:t>
            </w:r>
          </w:p>
        </w:tc>
        <w:tc>
          <w:tcPr>
            <w:tcW w:type="dxa" w:w="1080"/>
          </w:tcPr>
          <w:p>
            <w:r>
              <w:rPr>
                <w:rFonts w:ascii="Calibri" w:hAnsi="Calibri"/>
                <w:sz w:val="22"/>
              </w:rPr>
              <w:t>$5.28</w:t>
            </w:r>
          </w:p>
        </w:tc>
        <w:tc>
          <w:tcPr>
            <w:tcW w:type="dxa" w:w="1080"/>
          </w:tcPr>
          <w:p>
            <w:r>
              <w:rPr>
                <w:rFonts w:ascii="Calibri" w:hAnsi="Calibri"/>
                <w:sz w:val="22"/>
              </w:rPr>
              <w:t>-0.6%</w:t>
            </w:r>
          </w:p>
        </w:tc>
        <w:tc>
          <w:tcPr>
            <w:tcW w:type="dxa" w:w="1080"/>
          </w:tcPr>
          <w:p>
            <w:r>
              <w:rPr>
                <w:rFonts w:ascii="Calibri" w:hAnsi="Calibri"/>
                <w:sz w:val="22"/>
              </w:rPr>
              <w:t>$5.25–$5.30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+0.1% above midpoint</w:t>
            </w:r>
          </w:p>
        </w:tc>
      </w:tr>
      <w:tr>
        <w:tc>
          <w:tcPr>
            <w:tcW w:type="dxa" w:w="1080"/>
          </w:tcPr>
          <w:p>
            <w:r>
              <w:rPr>
                <w:rFonts w:ascii="Calibri" w:hAnsi="Calibri"/>
                <w:sz w:val="22"/>
              </w:rPr>
              <w:t>Adj. DEPS — FY 2026</w:t>
            </w:r>
          </w:p>
        </w:tc>
        <w:tc>
          <w:tcPr>
            <w:tcW w:type="dxa" w:w="1080"/>
          </w:tcPr>
          <w:p>
            <w:r>
              <w:rPr>
                <w:rFonts w:ascii="Calibri" w:hAnsi="Calibri"/>
                <w:sz w:val="22"/>
              </w:rPr>
              <w:t>$21.93</w:t>
            </w:r>
          </w:p>
        </w:tc>
        <w:tc>
          <w:tcPr>
            <w:tcW w:type="dxa" w:w="1080"/>
          </w:tcPr>
          <w:p>
            <w:r>
              <w:rPr>
                <w:rFonts w:ascii="Calibri" w:hAnsi="Calibri"/>
                <w:sz w:val="22"/>
              </w:rPr>
              <w:t>$21.94</w:t>
            </w:r>
          </w:p>
        </w:tc>
        <w:tc>
          <w:tcPr>
            <w:tcW w:type="dxa" w:w="1080"/>
          </w:tcPr>
          <w:p>
            <w:r>
              <w:rPr>
                <w:rFonts w:ascii="Calibri" w:hAnsi="Calibri"/>
                <w:sz w:val="22"/>
              </w:rPr>
              <w:t>+0.03%</w:t>
            </w:r>
          </w:p>
        </w:tc>
        <w:tc>
          <w:tcPr>
            <w:tcW w:type="dxa" w:w="1080"/>
          </w:tcPr>
          <w:p>
            <w:r>
              <w:rPr>
                <w:rFonts w:ascii="Calibri" w:hAnsi="Calibri"/>
                <w:sz w:val="22"/>
              </w:rPr>
              <w:t>$21.80–$22.05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+0.1% above midpoint</w:t>
            </w:r>
          </w:p>
        </w:tc>
      </w:tr>
      <w:tr>
        <w:tc>
          <w:tcPr>
            <w:tcW w:type="dxa" w:w="1080"/>
          </w:tcPr>
          <w:p>
            <w:r>
              <w:rPr>
                <w:rFonts w:ascii="Calibri" w:hAnsi="Calibri"/>
                <w:sz w:val="22"/>
              </w:rPr>
              <w:t>Revenue — Q2 2026</w:t>
            </w:r>
          </w:p>
        </w:tc>
        <w:tc>
          <w:tcPr>
            <w:tcW w:type="dxa" w:w="1080"/>
          </w:tcPr>
          <w:p>
            <w:r>
              <w:rPr>
                <w:rFonts w:ascii="Calibri" w:hAnsi="Calibri"/>
                <w:sz w:val="22"/>
              </w:rPr>
              <w:t>$2,097M</w:t>
            </w:r>
          </w:p>
        </w:tc>
        <w:tc>
          <w:tcPr>
            <w:tcW w:type="dxa" w:w="1080"/>
          </w:tcPr>
          <w:p>
            <w:r>
              <w:rPr>
                <w:rFonts w:ascii="Calibri" w:hAnsi="Calibri"/>
                <w:sz w:val="22"/>
              </w:rPr>
              <w:t>$2,097M</w:t>
            </w:r>
          </w:p>
        </w:tc>
        <w:tc>
          <w:tcPr>
            <w:tcW w:type="dxa" w:w="1080"/>
          </w:tcPr>
          <w:p>
            <w:r>
              <w:rPr>
                <w:rFonts w:ascii="Calibri" w:hAnsi="Calibri"/>
                <w:sz w:val="22"/>
              </w:rPr>
              <w:t>0.0%</w:t>
            </w:r>
          </w:p>
        </w:tc>
        <w:tc>
          <w:tcPr>
            <w:tcW w:type="dxa" w:w="1080"/>
          </w:tcPr>
          <w:p>
            <w:r>
              <w:rPr>
                <w:rFonts w:ascii="Calibri" w:hAnsi="Calibri"/>
                <w:sz w:val="22"/>
              </w:rPr>
              <w:t>~8% total growth (FY)</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$8,547M</w:t>
            </w:r>
          </w:p>
        </w:tc>
        <w:tc>
          <w:tcPr>
            <w:tcW w:type="dxa" w:w="1080"/>
          </w:tcPr>
          <w:p>
            <w:r>
              <w:rPr>
                <w:rFonts w:ascii="Calibri" w:hAnsi="Calibri"/>
                <w:sz w:val="22"/>
              </w:rPr>
              <w:t>$8,547M</w:t>
            </w:r>
          </w:p>
        </w:tc>
        <w:tc>
          <w:tcPr>
            <w:tcW w:type="dxa" w:w="1080"/>
          </w:tcPr>
          <w:p>
            <w:r>
              <w:rPr>
                <w:rFonts w:ascii="Calibri" w:hAnsi="Calibri"/>
                <w:sz w:val="22"/>
              </w:rPr>
              <w:t>0.0%</w:t>
            </w:r>
          </w:p>
        </w:tc>
        <w:tc>
          <w:tcPr>
            <w:tcW w:type="dxa" w:w="1080"/>
          </w:tcPr>
          <w:p>
            <w:r>
              <w:rPr>
                <w:rFonts w:ascii="Calibri" w:hAnsi="Calibri"/>
                <w:sz w:val="22"/>
              </w:rPr>
              <w:t>~8% total growth</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 line</w:t>
            </w:r>
          </w:p>
        </w:tc>
      </w:tr>
      <w:tr>
        <w:tc>
          <w:tcPr>
            <w:tcW w:type="dxa" w:w="1080"/>
          </w:tcPr>
          <w:p>
            <w:r>
              <w:rPr>
                <w:rFonts w:ascii="Calibri" w:hAnsi="Calibri"/>
                <w:sz w:val="22"/>
              </w:rPr>
              <w:t>EBITDA (Operating) — Q2 2026</w:t>
            </w:r>
          </w:p>
        </w:tc>
        <w:tc>
          <w:tcPr>
            <w:tcW w:type="dxa" w:w="1080"/>
          </w:tcPr>
          <w:p>
            <w:r>
              <w:rPr>
                <w:rFonts w:ascii="Calibri" w:hAnsi="Calibri"/>
                <w:sz w:val="22"/>
              </w:rPr>
              <w:t>$815M</w:t>
            </w:r>
          </w:p>
        </w:tc>
        <w:tc>
          <w:tcPr>
            <w:tcW w:type="dxa" w:w="1080"/>
          </w:tcPr>
          <w:p>
            <w:r>
              <w:rPr>
                <w:rFonts w:ascii="Calibri" w:hAnsi="Calibri"/>
                <w:sz w:val="22"/>
              </w:rPr>
              <w:t>$816M</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Growth — Q2 2026</w:t>
            </w:r>
          </w:p>
        </w:tc>
        <w:tc>
          <w:tcPr>
            <w:tcW w:type="dxa" w:w="1080"/>
          </w:tcPr>
          <w:p>
            <w:r>
              <w:rPr>
                <w:rFonts w:ascii="Calibri" w:hAnsi="Calibri"/>
                <w:sz w:val="22"/>
              </w:rPr>
              <w:t>~4.3%</w:t>
            </w:r>
          </w:p>
        </w:tc>
        <w:tc>
          <w:tcPr>
            <w:tcW w:type="dxa" w:w="1080"/>
          </w:tcPr>
          <w:p>
            <w:r>
              <w:rPr>
                <w:rFonts w:ascii="Calibri" w:hAnsi="Calibri"/>
                <w:sz w:val="22"/>
              </w:rPr>
              <w:t>~4.3%</w:t>
            </w:r>
          </w:p>
        </w:tc>
        <w:tc>
          <w:tcPr>
            <w:tcW w:type="dxa" w:w="1080"/>
          </w:tcPr>
          <w:p>
            <w:r>
              <w:rPr>
                <w:rFonts w:ascii="Calibri" w:hAnsi="Calibri"/>
                <w:sz w:val="22"/>
              </w:rPr>
              <w:t>0.0%</w:t>
            </w:r>
          </w:p>
        </w:tc>
        <w:tc>
          <w:tcPr>
            <w:tcW w:type="dxa" w:w="1080"/>
          </w:tcPr>
          <w:p>
            <w:r>
              <w:rPr>
                <w:rFonts w:ascii="Calibri" w:hAnsi="Calibri"/>
                <w:sz w:val="22"/>
              </w:rPr>
              <w:t>Lower in Q2 on timing; 5–6% FY</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Below FY guide; consistent with Q2 commentary</w:t>
            </w:r>
          </w:p>
        </w:tc>
      </w:tr>
    </w:tbl>
    <w:p>
      <w:r>
        <w:rPr>
          <w:rFonts w:ascii="Calibri" w:hAnsi="Calibri"/>
          <w:i/>
          <w:color w:val="525866"/>
          <w:sz w:val="22"/>
        </w:rPr>
        <w:t>Estimates have been remarkably stable since the Q1 print, with no meaningful revision activity in either direction. The slight downward drift in Q2 DEPS (-0.6%) likely reflects minor model adjustments rather than any fundamental reassessment. Consensus tracking guidance closely with no divergence is a neutral signal — neither a setup for a large beat nor a miss.</w:t>
      </w:r>
    </w:p>
    <w:p>
      <w:r>
        <w:rPr>
          <w:rFonts w:ascii="Calibri" w:hAnsi="Calibri"/>
          <w:i/>
          <w:color w:val="525866"/>
          <w:sz w:val="22"/>
        </w:rPr>
        <w:t>Source: Visible Alpha Consensus and Actuals Data (as-of date: April 28, 2026 and July 22,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ROP has significantly underperformed since Q1 earnings — down ~7.4% vs. IGV +6.5% and SPY +5.5% — driven by multiple compression rather than estimate cuts, as the stock de-rated despite a clean beat-and-raise; the valuation discount to historical levels and software peers represents either a value opportunity or a structural re-rating, depending on whether organic growth can re-accelerate.</w:t>
      </w:r>
    </w:p>
    <w:p>
      <w:r>
        <w:rPr>
          <w:rFonts w:ascii="Calibri" w:hAnsi="Calibri"/>
          <w:color w:val="525866"/>
          <w:sz w:val="22"/>
        </w:rPr>
        <w:t xml:space="preserve">Since the Q1 2026 earnings release on April 23, 2026, ROP has declined approximately 7.4% (from ~$364 to ~$337), while the iShares Expanded Tech-Software ETF (IGV) gained 6.5% and the S&amp;P 500 (SPY) gained 5.5%. The divergence is striking: ROP's beat-and-raise quarter — the largest EPS beat in 8 quarters — failed to generate sustained upside, with the stock initially holding near prior-close levels before selling off materially in May (reaching a low near $316 on May 13). The stock partially recovered in late June/early July, briefly touching ~$364 again on July 2, before pulling back to ~$337 as of July 22. </w:t>
      </w:r>
    </w:p>
    <w:p>
      <w:r>
        <w:rPr>
          <w:rFonts w:ascii="Calibri" w:hAnsi="Calibri"/>
          <w:color w:val="525866"/>
          <w:sz w:val="22"/>
        </w:rPr>
        <w:t xml:space="preserve">The underperformance appears driven by multiple compression rather than estimate cuts — FY 2026 DEPS consensus has been essentially flat since the Q1 print, while the stock has de-rated. This suggests macro/sentiment headwinds (software sector rotation, valuation concerns) and lingering skepticism about the durability of organic growth re-acceleration are weighing more than fundamentals. The stock's current level near its post-Q1 close implies the market is in a 'show-me' mode heading into Q2 results. </w:t>
      </w:r>
    </w:p>
    <w:p>
      <w:r>
        <w:rPr>
          <w:rFonts w:ascii="Calibri" w:hAnsi="Calibri"/>
          <w:i/>
          <w:color w:val="525866"/>
          <w:sz w:val="22"/>
        </w:rPr>
        <w:t>Chart: ROP vs. IGV (iShares Expanded Tech-Software ETF) vs. SPY — Indexed to 100 at April 23, 2026 (Q1 2026 Earnings Date). Key events marked: Q1 earnings (Apr 23), Morgan Stanley TMT Conference (Apr 29), Q2 earnings date announcement (Jul 1).</w:t>
      </w:r>
    </w:p>
    <w:p>
      <w:r>
        <w:rPr>
          <w:rFonts w:ascii="Calibri" w:hAnsi="Calibri"/>
          <w:i/>
          <w:color w:val="525866"/>
          <w:sz w:val="22"/>
        </w:rPr>
        <w:t>Source: Stock Price Data (Yahoo Finance). IGV selected as sector ETF given ROP's primary classification as a vertical software compounder.</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b/>
          <w:color w:val="525866"/>
          <w:sz w:val="22"/>
        </w:rPr>
        <w:t>Peer commentary from Q2-reporting companies (WDAY, FICO, CDNS, SSNC, INTU) is broadly constructive for ROP's vertical software portfolio — AI-driven bookings acceleration, strong recurring revenue retention, and healthy enterprise software demand are consistent themes, while GovCon and freight market dynamics remain idiosyncratic to ROP.</w:t>
      </w:r>
    </w:p>
    <w:p>
      <w:r>
        <w:rPr>
          <w:rFonts w:ascii="Calibri" w:hAnsi="Calibri"/>
          <w:i/>
          <w:color w:val="525866"/>
          <w:sz w:val="22"/>
        </w:rPr>
        <w:t>The following peer commentaries are from earnings calls and reports covering the current reporting quarter (Q2 2026 calendar period) or post-Q1 2026 commentary about current business conditions. These are selected for their read-through relevance to ROP's key business segments and themes.</w:t>
      </w:r>
    </w:p>
    <w:p>
      <w:pPr>
        <w:pStyle w:val="Heading3"/>
      </w:pPr>
      <w:r>
        <w:rPr>
          <w:rFonts w:ascii="Calibri" w:hAnsi="Calibri"/>
          <w:b/>
          <w:color w:val="3B4259"/>
          <w:sz w:val="24"/>
        </w:rPr>
        <w:t>Workday (WDAY) — Q1 FY2027 Earnings (May 21, 2026)</w:t>
      </w:r>
    </w:p>
    <w:p>
      <w:r>
        <w:rPr>
          <w:rFonts w:ascii="Calibri" w:hAnsi="Calibri"/>
          <w:b/>
          <w:color w:val="525866"/>
          <w:sz w:val="22"/>
        </w:rPr>
        <w:t xml:space="preserve">Relevance: </w:t>
      </w:r>
      <w:r>
        <w:rPr>
          <w:rFonts w:ascii="Calibri" w:hAnsi="Calibri"/>
          <w:color w:val="525866"/>
          <w:sz w:val="22"/>
        </w:rPr>
        <w:t>Enterprise SaaS demand, AI monetization, GovCon/federal sector, bookings momentum.</w:t>
      </w:r>
    </w:p>
    <w:p>
      <w:pPr>
        <w:pStyle w:val="ListBullet"/>
        <w:ind w:left="360" w:hanging="360"/>
      </w:pPr>
      <w:r>
        <w:rPr>
          <w:rFonts w:ascii="Calibri" w:hAnsi="Calibri"/>
          <w:b/>
          <w:color w:val="525866"/>
          <w:sz w:val="22"/>
        </w:rPr>
        <w:t xml:space="preserve">Best Q1 new ACV growth in 5 years: </w:t>
      </w:r>
      <w:r>
        <w:rPr>
          <w:rFonts w:ascii="Calibri" w:hAnsi="Calibri"/>
          <w:color w:val="525866"/>
          <w:sz w:val="22"/>
        </w:rPr>
        <w:t>Workday reported its best first quarter of new Annual Contract Value (ACV) growth in five years, with net new business contributing 40% of subscription revenue growth. This is a strong read-through for enterprise software demand broadly, suggesting the macro environment for mission-critical SaaS is healthy heading into mid-2026.</w:t>
      </w:r>
    </w:p>
    <w:p>
      <w:pPr>
        <w:pStyle w:val="ListBullet"/>
        <w:ind w:left="360" w:hanging="360"/>
      </w:pPr>
      <w:r>
        <w:rPr>
          <w:rFonts w:ascii="Calibri" w:hAnsi="Calibri"/>
          <w:b/>
          <w:color w:val="525866"/>
          <w:sz w:val="22"/>
        </w:rPr>
        <w:t xml:space="preserve">AI monetization accelerating: </w:t>
      </w:r>
      <w:r>
        <w:rPr>
          <w:rFonts w:ascii="Calibri" w:hAnsi="Calibri"/>
          <w:color w:val="525866"/>
          <w:sz w:val="22"/>
        </w:rPr>
        <w:t>New ACV from agentic AI products grew more than 200% year-over-year in Q1 FY27, and Workday is approaching $500M in ARR from agentic AI solutions. Expansion deals that included AI were on average over 50% larger. This validates ROP's thesis that AI is a bookings accelerant — directly relevant to CentralReach (75% of new business AI-influenced) and Vertafore's Velocity AI platform launch.</w:t>
      </w:r>
    </w:p>
    <w:p>
      <w:pPr>
        <w:pStyle w:val="ListBullet"/>
        <w:ind w:left="360" w:hanging="360"/>
      </w:pPr>
      <w:r>
        <w:rPr>
          <w:rFonts w:ascii="Calibri" w:hAnsi="Calibri"/>
          <w:b/>
          <w:color w:val="525866"/>
          <w:sz w:val="22"/>
        </w:rPr>
        <w:t xml:space="preserve">Federal/GovCon sector expanding: </w:t>
      </w:r>
      <w:r>
        <w:rPr>
          <w:rFonts w:ascii="Calibri" w:hAnsi="Calibri"/>
          <w:color w:val="525866"/>
          <w:sz w:val="22"/>
        </w:rPr>
        <w:t>Workday held its fourth annual Fed forum with nearly 600 attendees and kicked off the next phase of its Defense Intelligence Agency (DIA) contract. State and local government secured statewide deals with Delaware and Massachusetts. This is a cautiously positive read-through for Deltek — federal IT spending is not frozen, though Deltek's GovCon enterprise perpetual deal delays are more specific to procurement reorganization and budget uncertainty.</w:t>
      </w:r>
    </w:p>
    <w:p>
      <w:pPr>
        <w:pStyle w:val="ListBullet"/>
        <w:ind w:left="360" w:hanging="360"/>
      </w:pPr>
      <w:r>
        <w:rPr>
          <w:rFonts w:ascii="Calibri" w:hAnsi="Calibri"/>
          <w:b/>
          <w:color w:val="525866"/>
          <w:sz w:val="22"/>
        </w:rPr>
        <w:t xml:space="preserve">Gross revenue retention at 97%: </w:t>
      </w:r>
      <w:r>
        <w:rPr>
          <w:rFonts w:ascii="Calibri" w:hAnsi="Calibri"/>
          <w:color w:val="525866"/>
          <w:sz w:val="22"/>
        </w:rPr>
        <w:t>Strong retention signals that enterprise software customers are not churning despite macro uncertainty — consistent with ROP's mid-90s enterprise gross retention commentary.</w:t>
      </w:r>
    </w:p>
    <w:p>
      <w:pPr>
        <w:pStyle w:val="ListBullet"/>
        <w:ind w:left="360" w:hanging="360"/>
      </w:pPr>
      <w:r>
        <w:rPr>
          <w:rFonts w:ascii="Calibri" w:hAnsi="Calibri"/>
          <w:b/>
          <w:color w:val="525866"/>
          <w:sz w:val="22"/>
        </w:rPr>
        <w:t xml:space="preserve">Subscription revenue +14% YoY; cRPO +15.5%: </w:t>
      </w:r>
      <w:r>
        <w:rPr>
          <w:rFonts w:ascii="Calibri" w:hAnsi="Calibri"/>
          <w:color w:val="525866"/>
          <w:sz w:val="22"/>
        </w:rPr>
        <w:t>Healthy backlog growth suggests forward revenue visibility is strong across enterprise SaaS, a positive read-through for ROP's recurring revenue base.</w:t>
      </w:r>
    </w:p>
    <w:p>
      <w:pPr>
        <w:pStyle w:val="Heading3"/>
      </w:pPr>
      <w:r>
        <w:rPr>
          <w:rFonts w:ascii="Calibri" w:hAnsi="Calibri"/>
          <w:b/>
          <w:color w:val="3B4259"/>
          <w:sz w:val="24"/>
        </w:rPr>
        <w:t>FICO — Q2 FY2026 Earnings (April 28, 2026)</w:t>
      </w:r>
    </w:p>
    <w:p>
      <w:r>
        <w:rPr>
          <w:rFonts w:ascii="Calibri" w:hAnsi="Calibri"/>
          <w:b/>
          <w:color w:val="525866"/>
          <w:sz w:val="22"/>
        </w:rPr>
        <w:t xml:space="preserve">Relevance: </w:t>
      </w:r>
      <w:r>
        <w:rPr>
          <w:rFonts w:ascii="Calibri" w:hAnsi="Calibri"/>
          <w:color w:val="525866"/>
          <w:sz w:val="22"/>
        </w:rPr>
        <w:t>Vertical software demand, AI-driven platform adoption, SaaS ARR growth, bookings trajectory.</w:t>
      </w:r>
    </w:p>
    <w:p>
      <w:pPr>
        <w:pStyle w:val="ListBullet"/>
        <w:ind w:left="360" w:hanging="360"/>
      </w:pPr>
      <w:r>
        <w:rPr>
          <w:rFonts w:ascii="Calibri" w:hAnsi="Calibri"/>
          <w:b/>
          <w:color w:val="525866"/>
          <w:sz w:val="22"/>
        </w:rPr>
        <w:t xml:space="preserve">Platform ARR +49% YoY; NRR at 136%: </w:t>
      </w:r>
      <w:r>
        <w:rPr>
          <w:rFonts w:ascii="Calibri" w:hAnsi="Calibri"/>
          <w:color w:val="525866"/>
          <w:sz w:val="22"/>
        </w:rPr>
        <w:t>FICO's FICO Platform ARR reached $349M (+49% YoY), with a net revenue retention rate of 136% driven by new use cases and increased usage from existing customers. This is a strong read-through for the 'land and expand' dynamics in vertical software — directly relevant to ROP's Application Software segment where recurring revenue growth and SaaS transitions are the core thesis.</w:t>
      </w:r>
    </w:p>
    <w:p>
      <w:pPr>
        <w:pStyle w:val="ListBullet"/>
        <w:ind w:left="360" w:hanging="360"/>
      </w:pPr>
      <w:r>
        <w:rPr>
          <w:rFonts w:ascii="Calibri" w:hAnsi="Calibri"/>
          <w:b/>
          <w:color w:val="525866"/>
          <w:sz w:val="22"/>
        </w:rPr>
        <w:t xml:space="preserve">Software ACV bookings TTM +36% YoY: </w:t>
      </w:r>
      <w:r>
        <w:rPr>
          <w:rFonts w:ascii="Calibri" w:hAnsi="Calibri"/>
          <w:color w:val="525866"/>
          <w:sz w:val="22"/>
        </w:rPr>
        <w:t>Trailing 12-month ACV bookings of $126M grew 36% YoY, with management expecting H2 bookings to exceed H1. This is a positive read-through for ROP's software bookings momentum (core up low double digits TTM as of Q1 2026).</w:t>
      </w:r>
    </w:p>
    <w:p>
      <w:pPr>
        <w:pStyle w:val="ListBullet"/>
        <w:ind w:left="360" w:hanging="360"/>
      </w:pPr>
      <w:r>
        <w:rPr>
          <w:rFonts w:ascii="Calibri" w:hAnsi="Calibri"/>
          <w:b/>
          <w:color w:val="525866"/>
          <w:sz w:val="22"/>
        </w:rPr>
        <w:t xml:space="preserve">AI as a 'tremendous opportunity' in regulated verticals: </w:t>
      </w:r>
      <w:r>
        <w:rPr>
          <w:rFonts w:ascii="Calibri" w:hAnsi="Calibri"/>
          <w:color w:val="525866"/>
          <w:sz w:val="22"/>
        </w:rPr>
        <w:t>FICO highlighted AI's role in decisioning platforms for highly regulated financial services, with 137 AI-based patents and an 'agentic-by-design' platform architecture. This validates ROP's positioning of on-stack AI embedded natively in workflows as the winning approach in regulated niche markets.</w:t>
      </w:r>
    </w:p>
    <w:p>
      <w:pPr>
        <w:pStyle w:val="ListBullet"/>
        <w:ind w:left="360" w:hanging="360"/>
      </w:pPr>
      <w:r>
        <w:rPr>
          <w:rFonts w:ascii="Calibri" w:hAnsi="Calibri"/>
          <w:b/>
          <w:color w:val="525866"/>
          <w:sz w:val="22"/>
        </w:rPr>
        <w:t xml:space="preserve">FY2026 guidance raised: </w:t>
      </w:r>
      <w:r>
        <w:rPr>
          <w:rFonts w:ascii="Calibri" w:hAnsi="Calibri"/>
          <w:color w:val="525866"/>
          <w:sz w:val="22"/>
        </w:rPr>
        <w:t>Revenue guidance raised to $2.45B (+23% YoY), with non-GAAP EPS of $40.45 (+35%). The magnitude of the raise signals strong underlying demand in vertical software, a broadly positive read-through for the sector.</w:t>
      </w:r>
    </w:p>
    <w:p>
      <w:pPr>
        <w:pStyle w:val="Heading3"/>
      </w:pPr>
      <w:r>
        <w:rPr>
          <w:rFonts w:ascii="Calibri" w:hAnsi="Calibri"/>
          <w:b/>
          <w:color w:val="3B4259"/>
          <w:sz w:val="24"/>
        </w:rPr>
        <w:t>Cadence Design Systems (CDNS) — Q1 2026 Earnings (April 27, 2026)</w:t>
      </w:r>
    </w:p>
    <w:p>
      <w:r>
        <w:rPr>
          <w:rFonts w:ascii="Calibri" w:hAnsi="Calibri"/>
          <w:b/>
          <w:color w:val="525866"/>
          <w:sz w:val="22"/>
        </w:rPr>
        <w:t xml:space="preserve">Relevance: </w:t>
      </w:r>
      <w:r>
        <w:rPr>
          <w:rFonts w:ascii="Calibri" w:hAnsi="Calibri"/>
          <w:color w:val="525866"/>
          <w:sz w:val="22"/>
        </w:rPr>
        <w:t>AI-driven software demand, agentic AI monetization models, macro environment for software, bookings strength.</w:t>
      </w:r>
    </w:p>
    <w:p>
      <w:pPr>
        <w:pStyle w:val="ListBullet"/>
        <w:ind w:left="360" w:hanging="360"/>
      </w:pPr>
      <w:r>
        <w:rPr>
          <w:rFonts w:ascii="Calibri" w:hAnsi="Calibri"/>
          <w:b/>
          <w:color w:val="525866"/>
          <w:sz w:val="22"/>
        </w:rPr>
        <w:t xml:space="preserve">Record backlog of $8B; bookings ahead of expectations: </w:t>
      </w:r>
      <w:r>
        <w:rPr>
          <w:rFonts w:ascii="Calibri" w:hAnsi="Calibri"/>
          <w:color w:val="525866"/>
          <w:sz w:val="22"/>
        </w:rPr>
        <w:t>Cadence reported record Q1 bookings across all lines of business, resulting in an $8B backlog. This is a strong read-through for enterprise software demand broadly — customers are committing to multi-year software relationships despite macro uncertainty.</w:t>
      </w:r>
    </w:p>
    <w:p>
      <w:pPr>
        <w:pStyle w:val="ListBullet"/>
        <w:ind w:left="360" w:hanging="360"/>
      </w:pPr>
      <w:r>
        <w:rPr>
          <w:rFonts w:ascii="Calibri" w:hAnsi="Calibri"/>
          <w:b/>
          <w:color w:val="525866"/>
          <w:sz w:val="22"/>
        </w:rPr>
        <w:t xml:space="preserve">Macro environment 'pretty healthy' for software: </w:t>
      </w:r>
      <w:r>
        <w:rPr>
          <w:rFonts w:ascii="Calibri" w:hAnsi="Calibri"/>
          <w:color w:val="525866"/>
          <w:sz w:val="22"/>
        </w:rPr>
        <w:t>Management described the environment as 'pretty healthy, both for the system companies and semi companies,' with memory, analog, and hyperscaler customers all performing well. This is a broadly positive read-through for ROP's software end markets.</w:t>
      </w:r>
    </w:p>
    <w:p>
      <w:pPr>
        <w:pStyle w:val="ListBullet"/>
        <w:ind w:left="360" w:hanging="360"/>
      </w:pPr>
      <w:r>
        <w:rPr>
          <w:rFonts w:ascii="Calibri" w:hAnsi="Calibri"/>
          <w:b/>
          <w:color w:val="525866"/>
          <w:sz w:val="22"/>
        </w:rPr>
        <w:t xml:space="preserve">Agentic AI monetization via subscription + consumption: </w:t>
      </w:r>
      <w:r>
        <w:rPr>
          <w:rFonts w:ascii="Calibri" w:hAnsi="Calibri"/>
          <w:color w:val="525866"/>
          <w:sz w:val="22"/>
        </w:rPr>
        <w:t>Cadence is monetizing new agentic AI tools through a 'subscription plus consumption model,' with add-on monetization through usage-based or consumption-based capacity. This is directly relevant to ROP's AI monetization framework — management has articulated a similar subscription-with-overage approach for most businesses, with consumption-based pricing reserved for businesses where customer unit economics are already consumption-driven (SoftWriters, DAT Convoy).</w:t>
      </w:r>
    </w:p>
    <w:p>
      <w:pPr>
        <w:pStyle w:val="ListBullet"/>
        <w:ind w:left="360" w:hanging="360"/>
      </w:pPr>
      <w:r>
        <w:rPr>
          <w:rFonts w:ascii="Calibri" w:hAnsi="Calibri"/>
          <w:b/>
          <w:color w:val="525866"/>
          <w:sz w:val="22"/>
        </w:rPr>
        <w:t xml:space="preserve">Pricing environment improved; value-based pricing: </w:t>
      </w:r>
      <w:r>
        <w:rPr>
          <w:rFonts w:ascii="Calibri" w:hAnsi="Calibri"/>
          <w:color w:val="525866"/>
          <w:sz w:val="22"/>
        </w:rPr>
        <w:t>Cadence noted that 'the overall pricing environment has improved' and that pricing remains value-based. This is a positive read-through for ROP's ability to capture AI monetization without significant customer pushback.</w:t>
      </w:r>
    </w:p>
    <w:p>
      <w:pPr>
        <w:pStyle w:val="ListBullet"/>
        <w:ind w:left="360" w:hanging="360"/>
      </w:pPr>
      <w:r>
        <w:rPr>
          <w:rFonts w:ascii="Calibri" w:hAnsi="Calibri"/>
          <w:b/>
          <w:color w:val="525866"/>
          <w:sz w:val="22"/>
        </w:rPr>
        <w:t xml:space="preserve">19% revenue growth; 45% operating margin: </w:t>
      </w:r>
      <w:r>
        <w:rPr>
          <w:rFonts w:ascii="Calibri" w:hAnsi="Calibri"/>
          <w:color w:val="525866"/>
          <w:sz w:val="22"/>
        </w:rPr>
        <w:t>One of the best Q1s in company history, driven by accelerating AI demand. While CDNS is a different business (EDA tools vs. vertical SaaS), the strength signals that enterprise software customers are increasing R&amp;D and technology spend, a positive backdrop for ROP's end markets.</w:t>
      </w:r>
    </w:p>
    <w:p>
      <w:pPr>
        <w:pStyle w:val="Heading3"/>
      </w:pPr>
      <w:r>
        <w:rPr>
          <w:rFonts w:ascii="Calibri" w:hAnsi="Calibri"/>
          <w:b/>
          <w:color w:val="3B4259"/>
          <w:sz w:val="24"/>
        </w:rPr>
        <w:t>SS&amp;C Technologies (SSNC) — Q1 2026 Earnings (April 23, 2026)</w:t>
      </w:r>
    </w:p>
    <w:p>
      <w:r>
        <w:rPr>
          <w:rFonts w:ascii="Calibri" w:hAnsi="Calibri"/>
          <w:b/>
          <w:color w:val="525866"/>
          <w:sz w:val="22"/>
        </w:rPr>
        <w:t xml:space="preserve">Relevance: </w:t>
      </w:r>
      <w:r>
        <w:rPr>
          <w:rFonts w:ascii="Calibri" w:hAnsi="Calibri"/>
          <w:color w:val="525866"/>
          <w:sz w:val="22"/>
        </w:rPr>
        <w:t>Vertical software/technology-enabled services demand, organic growth, AI monetization, macro resilience.</w:t>
      </w:r>
    </w:p>
    <w:p>
      <w:pPr>
        <w:pStyle w:val="ListBullet"/>
        <w:ind w:left="360" w:hanging="360"/>
      </w:pPr>
      <w:r>
        <w:rPr>
          <w:rFonts w:ascii="Calibri" w:hAnsi="Calibri"/>
          <w:b/>
          <w:color w:val="525866"/>
          <w:sz w:val="22"/>
        </w:rPr>
        <w:t xml:space="preserve">Adjusted organic revenue growth of 5% despite macro headwinds: </w:t>
      </w:r>
      <w:r>
        <w:rPr>
          <w:rFonts w:ascii="Calibri" w:hAnsi="Calibri"/>
          <w:color w:val="525866"/>
          <w:sz w:val="22"/>
        </w:rPr>
        <w:t>SS&amp;C delivered 5% adjusted organic growth in Q1 2026 despite a challenging macro backdrop (Iran war, tariffs, spiking oil prices). This is a direct read-through for ROP's organic growth durability — both companies serve defensible niche markets with deeply embedded software platforms.</w:t>
      </w:r>
    </w:p>
    <w:p>
      <w:pPr>
        <w:pStyle w:val="ListBullet"/>
        <w:ind w:left="360" w:hanging="360"/>
      </w:pPr>
      <w:r>
        <w:rPr>
          <w:rFonts w:ascii="Calibri" w:hAnsi="Calibri"/>
          <w:b/>
          <w:color w:val="525866"/>
          <w:sz w:val="22"/>
        </w:rPr>
        <w:t xml:space="preserve">Pipelines 'robust'; guidance raised: </w:t>
      </w:r>
      <w:r>
        <w:rPr>
          <w:rFonts w:ascii="Calibri" w:hAnsi="Calibri"/>
          <w:color w:val="525866"/>
          <w:sz w:val="22"/>
        </w:rPr>
        <w:t>SS&amp;C raised its 2026 guidance and described pipelines as robust, with GIDS growing 10.4% and GlobeOp growing 6.7%. The guidance raise signals confidence in forward demand, a positive read-through for ROP's software bookings trajectory.</w:t>
      </w:r>
    </w:p>
    <w:p>
      <w:pPr>
        <w:pStyle w:val="ListBullet"/>
        <w:ind w:left="360" w:hanging="360"/>
      </w:pPr>
      <w:r>
        <w:rPr>
          <w:rFonts w:ascii="Calibri" w:hAnsi="Calibri"/>
          <w:b/>
          <w:color w:val="525866"/>
          <w:sz w:val="22"/>
        </w:rPr>
        <w:t xml:space="preserve">AI as 'structural tailwind'; agentic workflow platform launch: </w:t>
      </w:r>
      <w:r>
        <w:rPr>
          <w:rFonts w:ascii="Calibri" w:hAnsi="Calibri"/>
          <w:color w:val="525866"/>
          <w:sz w:val="22"/>
        </w:rPr>
        <w:t>SS&amp;C launched Blue Prism WorkHQ, an agentic workflow orchestration platform, with over 2,000 registrations for the virtual launch event. The company views AI as a structural tailwind and has deployed ~4,000 digital workers saving 'a couple of hundred million dollars a year.' This validates the AI productivity thesis that ROP is executing across its portfolio.</w:t>
      </w:r>
    </w:p>
    <w:p>
      <w:pPr>
        <w:pStyle w:val="ListBullet"/>
        <w:ind w:left="360" w:hanging="360"/>
      </w:pPr>
      <w:r>
        <w:rPr>
          <w:rFonts w:ascii="Calibri" w:hAnsi="Calibri"/>
          <w:b/>
          <w:color w:val="525866"/>
          <w:sz w:val="22"/>
        </w:rPr>
        <w:t xml:space="preserve">Deep domain expertise as competitive moat: </w:t>
      </w:r>
      <w:r>
        <w:rPr>
          <w:rFonts w:ascii="Calibri" w:hAnsi="Calibri"/>
          <w:color w:val="525866"/>
          <w:sz w:val="22"/>
        </w:rPr>
        <w:t>SS&amp;C emphasized that '40 years of processing things in very, very complicated, very regulated ways' creates a moat that AI cannot easily displace. This is directly analogous to ROP's positioning — on-stack AI embedded in niche vertical workflows is the winning approach, not horizontal AI tools.</w:t>
      </w:r>
    </w:p>
    <w:p>
      <w:pPr>
        <w:pStyle w:val="ListBullet"/>
        <w:ind w:left="360" w:hanging="360"/>
      </w:pPr>
      <w:r>
        <w:rPr>
          <w:rFonts w:ascii="Calibri" w:hAnsi="Calibri"/>
          <w:b/>
          <w:color w:val="525866"/>
          <w:sz w:val="22"/>
        </w:rPr>
        <w:t xml:space="preserve">Retention rates stable; private credit funds 'pretty immune from day-to-day fluctuations': </w:t>
      </w:r>
      <w:r>
        <w:rPr>
          <w:rFonts w:ascii="Calibri" w:hAnsi="Calibri"/>
          <w:color w:val="525866"/>
          <w:sz w:val="22"/>
        </w:rPr>
        <w:t>Strong retention and revenue predictability in closed-end fund structures is a positive read-through for ROP's recurring revenue durability.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the aggressive $2.2B share repurchase program (6M shares since November 2025), which mechanically supports DEPS and signals management conviction in valuation dislocation; the M&amp;A pipeline has shifted to more proprietary opportunities as public market volatility caused sellers to pause active processes.</w:t>
      </w:r>
    </w:p>
    <w:p>
      <w:pPr>
        <w:pStyle w:val="ListBullet"/>
        <w:ind w:left="360" w:hanging="360"/>
      </w:pPr>
      <w:r>
        <w:rPr>
          <w:rFonts w:ascii="Calibri" w:hAnsi="Calibri"/>
          <w:b/>
          <w:color w:val="525866"/>
          <w:sz w:val="22"/>
        </w:rPr>
        <w:t xml:space="preserve">April 23, 2026 — Q1 2026 Beat-and-Raise: </w:t>
      </w:r>
      <w:r>
        <w:rPr>
          <w:rFonts w:ascii="Calibri" w:hAnsi="Calibri"/>
          <w:color w:val="525866"/>
          <w:sz w:val="22"/>
        </w:rPr>
        <w:t xml:space="preserve">ROP reported Q1 2026 results well above expectations — DEPS of $5.16 vs. consensus of ~$4.99 (+3.3% beat), organic revenue growth of 6% vs. ~4.6% expected, and raised FY 2026 DEPS guidance by $0.50 at the midpoint to $21.80–$22.05. The breadth of the beat across every key metric signaled Q4 2025 deceleration was transitory. </w:t>
      </w:r>
    </w:p>
    <w:p>
      <w:pPr>
        <w:pStyle w:val="ListBullet"/>
        <w:ind w:left="360" w:hanging="360"/>
      </w:pPr>
      <w:r>
        <w:rPr>
          <w:rFonts w:ascii="Calibri" w:hAnsi="Calibri"/>
          <w:b/>
          <w:color w:val="525866"/>
          <w:sz w:val="22"/>
        </w:rPr>
        <w:t xml:space="preserve">April 23, 2026 — $3B Additional Share Repurchase Authorization: </w:t>
      </w:r>
      <w:r>
        <w:rPr>
          <w:rFonts w:ascii="Calibri" w:hAnsi="Calibri"/>
          <w:color w:val="525866"/>
          <w:sz w:val="22"/>
        </w:rPr>
        <w:t xml:space="preserve">The Board authorized an additional $3B of repurchase capacity, bringing total remaining authorization to $3.8B and total capital deployment capacity to over $5B over the next 12 months. Since November 2025, ROP has repurchased 6M shares for $2.2B (including 4.9M shares for $1.7B YTD 2026), bringing the share count to levels not seen since 2017. </w:t>
      </w:r>
    </w:p>
    <w:p>
      <w:pPr>
        <w:pStyle w:val="ListBullet"/>
        <w:ind w:left="360" w:hanging="360"/>
      </w:pPr>
      <w:r>
        <w:rPr>
          <w:rFonts w:ascii="Calibri" w:hAnsi="Calibri"/>
          <w:b/>
          <w:color w:val="525866"/>
          <w:sz w:val="22"/>
        </w:rPr>
        <w:t xml:space="preserve">April 23, 2026 — New $3.5B Revolving Credit Facility: </w:t>
      </w:r>
      <w:r>
        <w:rPr>
          <w:rFonts w:ascii="Calibri" w:hAnsi="Calibri"/>
          <w:color w:val="525866"/>
          <w:sz w:val="22"/>
        </w:rPr>
        <w:t>ROP closed a new 5-year $3.5B revolving credit facility on improved pricing and terms, enhancing its cost-of-capital advantage relative to PE-backed competitors and providing ample liquidity for M&amp;A and buybacks. Net leverage exited Q1 at 3.1x net debt/EBITDA.</w:t>
      </w:r>
    </w:p>
    <w:p>
      <w:pPr>
        <w:pStyle w:val="ListBullet"/>
        <w:ind w:left="360" w:hanging="360"/>
      </w:pPr>
      <w:r>
        <w:rPr>
          <w:rFonts w:ascii="Calibri" w:hAnsi="Calibri"/>
          <w:b/>
          <w:color w:val="525866"/>
          <w:sz w:val="22"/>
        </w:rPr>
        <w:t xml:space="preserve">April 29, 2026 — Morgan Stanley TMT Conference: </w:t>
      </w:r>
      <w:r>
        <w:rPr>
          <w:rFonts w:ascii="Calibri" w:hAnsi="Calibri"/>
          <w:color w:val="525866"/>
          <w:sz w:val="22"/>
        </w:rPr>
        <w:t xml:space="preserve">Management presented at the Morgan Stanley Technology, Media &amp; Telecom Conference, reiterating the AI-driven innovation and disciplined M&amp;A strategy. No material guidance updates were issued. </w:t>
      </w:r>
    </w:p>
    <w:p>
      <w:pPr>
        <w:pStyle w:val="ListBullet"/>
        <w:ind w:left="360" w:hanging="360"/>
      </w:pPr>
      <w:r>
        <w:rPr>
          <w:rFonts w:ascii="Calibri" w:hAnsi="Calibri"/>
          <w:b/>
          <w:color w:val="525866"/>
          <w:sz w:val="22"/>
        </w:rPr>
        <w:t xml:space="preserve">May 2026 — Vertafore Velocity AI Platform Launch: </w:t>
      </w:r>
      <w:r>
        <w:rPr>
          <w:rFonts w:ascii="Calibri" w:hAnsi="Calibri"/>
          <w:color w:val="525866"/>
          <w:sz w:val="22"/>
        </w:rPr>
        <w:t>Vertafore unveiled its new Velocity AI platform and a suite of AI agents at its Accelerate user conference in Las Vegas, covering ReferenceConnect, reconciliation, submission processing, and email agent automation. The AI accelerator team's first partnership with Vertafore helped deliver these agents. This is a material product milestone that could accelerate bookings and SaaS transitions in the insurance vertical.</w:t>
      </w:r>
    </w:p>
    <w:p>
      <w:pPr>
        <w:pStyle w:val="ListBullet"/>
        <w:ind w:left="360" w:hanging="360"/>
      </w:pPr>
      <w:r>
        <w:rPr>
          <w:rFonts w:ascii="Calibri" w:hAnsi="Calibri"/>
          <w:b/>
          <w:color w:val="525866"/>
          <w:sz w:val="22"/>
        </w:rPr>
        <w:t xml:space="preserve">Q1 2026 — CentralReach AI Bookings at 75% of New Business: </w:t>
      </w:r>
      <w:r>
        <w:rPr>
          <w:rFonts w:ascii="Calibri" w:hAnsi="Calibri"/>
          <w:color w:val="525866"/>
          <w:sz w:val="22"/>
        </w:rPr>
        <w:t>CentralReach's AI-influenced bookings reached 75% of new business in Q1, up from 0% two years ago. Recurring software revenue grew well north of 20% with expanding margins. AI-generated session notes reduced time from 5–10 minutes to ~30 seconds, saving clinicians ~8 hours/week. This is the most advanced AI monetization proof point in the ROP portfolio.</w:t>
      </w:r>
    </w:p>
    <w:p>
      <w:pPr>
        <w:pStyle w:val="ListBullet"/>
        <w:ind w:left="360" w:hanging="360"/>
      </w:pPr>
      <w:r>
        <w:rPr>
          <w:rFonts w:ascii="Calibri" w:hAnsi="Calibri"/>
          <w:b/>
          <w:color w:val="525866"/>
          <w:sz w:val="22"/>
        </w:rPr>
        <w:t xml:space="preserve">Q1 2026 — ConstructConnect Agentic Coding Transformation: </w:t>
      </w:r>
      <w:r>
        <w:rPr>
          <w:rFonts w:ascii="Calibri" w:hAnsi="Calibri"/>
          <w:color w:val="525866"/>
          <w:sz w:val="22"/>
        </w:rPr>
        <w:t>ConstructConnect moved its entire product and engineering organization into agentic coding processes, shipping 4x the features vs. a year ago. AI AutoCount (reads construction schedules) launched in Q2. Recurring revenue was up double digits with continued breakout from Boost (AI-based takeoff solution).</w:t>
      </w:r>
    </w:p>
    <w:p>
      <w:pPr>
        <w:pStyle w:val="ListBullet"/>
        <w:ind w:left="360" w:hanging="360"/>
      </w:pPr>
      <w:r>
        <w:rPr>
          <w:rFonts w:ascii="Calibri" w:hAnsi="Calibri"/>
          <w:b/>
          <w:color w:val="525866"/>
          <w:sz w:val="22"/>
        </w:rPr>
        <w:t xml:space="preserve">Q1 2026 — DAT Green Shoots in Freight Market: </w:t>
      </w:r>
      <w:r>
        <w:rPr>
          <w:rFonts w:ascii="Calibri" w:hAnsi="Calibri"/>
          <w:color w:val="525866"/>
          <w:sz w:val="22"/>
        </w:rPr>
        <w:t>Spot rates were up 20–30% YoY and the carrier side of the DAT ecosystem grew in Q1 for the first time in several years. However, a sharp diesel spike compressed carrier margins late in the quarter. Management continues to assume no meaningful freight market recovery in guidance, leaving upside optionality if the market inflects.</w:t>
      </w:r>
    </w:p>
    <w:p>
      <w:pPr>
        <w:pStyle w:val="ListBullet"/>
        <w:ind w:left="360" w:hanging="360"/>
      </w:pPr>
      <w:r>
        <w:rPr>
          <w:rFonts w:ascii="Calibri" w:hAnsi="Calibri"/>
          <w:b/>
          <w:color w:val="525866"/>
          <w:sz w:val="22"/>
        </w:rPr>
        <w:t xml:space="preserve">Q1 2026 — Neptune Bronze Ingot Inflation Headwind Persists: </w:t>
      </w:r>
      <w:r>
        <w:rPr>
          <w:rFonts w:ascii="Calibri" w:hAnsi="Calibri"/>
          <w:color w:val="525866"/>
          <w:sz w:val="22"/>
        </w:rPr>
        <w:t>Neptune's revenue declined low single digits in Q1 (better than expected). Bronze ingot inflation (a derivative of copper demand from data centers) remains elevated; the surcharge approach attempted in mid-2025 had a negative demand impact, and ROP has reverted to regular-way pricing. Margin recovery expected to take a couple of quarters to work through backlog.</w:t>
      </w:r>
    </w:p>
    <w:p>
      <w:pPr>
        <w:pStyle w:val="ListBullet"/>
        <w:ind w:left="360" w:hanging="360"/>
      </w:pPr>
      <w:r>
        <w:rPr>
          <w:rFonts w:ascii="Calibri" w:hAnsi="Calibri"/>
          <w:b/>
          <w:color w:val="525866"/>
          <w:sz w:val="22"/>
        </w:rPr>
        <w:t xml:space="preserve">July 1, 2026 — Q2 2026 Earnings Date Announced: </w:t>
      </w:r>
      <w:r>
        <w:rPr>
          <w:rFonts w:ascii="Calibri" w:hAnsi="Calibri"/>
          <w:color w:val="525866"/>
          <w:sz w:val="22"/>
        </w:rPr>
        <w:t xml:space="preserve">ROP announced Q2 2026 financial results will be released before market open on July 23, 2026, with a conference call to follow. </w:t>
      </w:r>
    </w:p>
    <w:p>
      <w:pPr>
        <w:pStyle w:val="ListBullet"/>
        <w:ind w:left="360" w:hanging="360"/>
      </w:pPr>
      <w:r>
        <w:rPr>
          <w:rFonts w:ascii="Calibri" w:hAnsi="Calibri"/>
          <w:b/>
          <w:color w:val="525866"/>
          <w:sz w:val="22"/>
        </w:rPr>
        <w:t xml:space="preserve">January 27, 2026 — Oppenheimer Downgrade to Perform: </w:t>
      </w:r>
      <w:r>
        <w:rPr>
          <w:rFonts w:ascii="Calibri" w:hAnsi="Calibri"/>
          <w:color w:val="525866"/>
          <w:sz w:val="22"/>
        </w:rPr>
        <w:t xml:space="preserve">Oppenheimer downgraded ROP from Outperform to Perform, citing concerns about organic growth deceleration and valuation. This was the only analyst rating change in the period; no upgrades have been issued since Q1 earnings. </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No open-market buys or discretionary sells by executives or directors since Q1 earnings — the only Form 4 activity was routine annual equity grants (transaction code 'A') to eight directors on May 20, 2026, which is standard compensation and carries no informational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Archambeau, Shellye 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Brinkley, Amy Woods</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Esteves, Irene M.</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Johnson, Robert 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Joyce, Thomas Patrick Jr.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Murphy, John Francis</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Thatcher, Laura G.</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r>
        <w:tc>
          <w:tcPr>
            <w:tcW w:type="dxa" w:w="1440"/>
          </w:tcPr>
          <w:p>
            <w:r>
              <w:rPr>
                <w:rFonts w:ascii="Calibri" w:hAnsi="Calibri"/>
                <w:sz w:val="22"/>
              </w:rPr>
              <w:t>Wallman, Richard F.</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1,191</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not an open-market transaction</w:t>
            </w:r>
          </w:p>
        </w:tc>
      </w:tr>
    </w:tbl>
    <w:p>
      <w:r>
        <w:rPr>
          <w:rFonts w:ascii="Calibri" w:hAnsi="Calibri"/>
          <w:i/>
          <w:color w:val="525866"/>
          <w:sz w:val="22"/>
        </w:rPr>
        <w:t>All eight transactions on May 20, 2026 were routine annual equity grants to non-employee directors (Form 4 transaction code 'A' — Award/Grant, not an open-market purchase or sale). There were no open-market buys (code 'P') or open-market sells (code 'S') by any insider during the period from April 23 to July 22, 2026. The absence of discretionary insider selling is a mild positive signal — no executive is using the post-earnings window to reduce exposure. The absence of open-market buying is neutral given the company's aggressive corporate buyback program ($3.8B remaining authorization) effectively substitutes for individual insider purchases as a valuation signal.</w:t>
      </w:r>
    </w:p>
    <w:p>
      <w:r>
        <w:rPr>
          <w:rFonts w:ascii="Calibri" w:hAnsi="Calibri"/>
          <w:i/>
          <w:color w:val="525866"/>
          <w:sz w:val="22"/>
        </w:rPr>
        <w:t>Source: SEC Form 4 Filings Database (Insider Transaction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