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Roper Technologies (ROP)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ROP (Nasdaq)</w:t>
            </w:r>
          </w:p>
        </w:tc>
      </w:tr>
      <w:tr>
        <w:tc>
          <w:tcPr>
            <w:tcW w:type="dxa" w:w="4320"/>
          </w:tcPr>
          <w:p>
            <w:r>
              <w:rPr>
                <w:rFonts w:ascii="Calibri" w:hAnsi="Calibri"/>
                <w:b/>
                <w:sz w:val="22"/>
              </w:rPr>
              <w:t>Earnings Date</w:t>
            </w:r>
          </w:p>
        </w:tc>
        <w:tc>
          <w:tcPr>
            <w:tcW w:type="dxa" w:w="4320"/>
          </w:tcPr>
          <w:p>
            <w:r>
              <w:rPr>
                <w:rFonts w:ascii="Calibri" w:hAnsi="Calibri"/>
                <w:sz w:val="22"/>
              </w:rPr>
              <w:t>July 23, 2026 (pre-market); call 8:00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23, 2026 (Q1 2026)</w:t>
            </w:r>
          </w:p>
        </w:tc>
      </w:tr>
      <w:tr>
        <w:tc>
          <w:tcPr>
            <w:tcW w:type="dxa" w:w="4320"/>
          </w:tcPr>
          <w:p>
            <w:r>
              <w:rPr>
                <w:rFonts w:ascii="Calibri" w:hAnsi="Calibri"/>
                <w:b/>
                <w:sz w:val="22"/>
              </w:rPr>
              <w:t>Sector ETF Benchmark</w:t>
            </w:r>
          </w:p>
        </w:tc>
        <w:tc>
          <w:tcPr>
            <w:tcW w:type="dxa" w:w="4320"/>
          </w:tcPr>
          <w:p>
            <w:r>
              <w:rPr>
                <w:rFonts w:ascii="Calibri" w:hAnsi="Calibri"/>
                <w:sz w:val="22"/>
              </w:rPr>
              <w:t>IGV (iShares Expanded Tech-Software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at the low end of management's Q2 guidance range, the stock has given back all of its post-Q1 gains, and the bar is achievable, but the single biggest swing factor is whether organic growth can hold at 5–6% against a tougher TEP comp and continued GovCon softness.</w:t>
      </w:r>
    </w:p>
    <w:p>
      <w:r>
        <w:rPr>
          <w:rFonts w:ascii="Calibri" w:hAnsi="Calibri"/>
          <w:color w:val="525866"/>
          <w:sz w:val="22"/>
        </w:rPr>
        <w:t xml:space="preserve">Heading into Q2 2026, the bar for Roper is manageable: consensus adjusted DEPS of ~$5.28 sits at the low end of management's guided range of $5.25–$5.30, implying the Street is not pricing in upside. </w:t>
      </w:r>
      <w:r>
        <w:rPr>
          <w:rFonts w:ascii="Calibri" w:hAnsi="Calibri"/>
          <w:b/>
          <w:color w:val="525866"/>
          <w:sz w:val="22"/>
        </w:rPr>
        <w:t>Management's posture on the Q1 call was constructive but deliberately conservative</w:t>
      </w:r>
      <w:r>
        <w:rPr>
          <w:rFonts w:ascii="Calibri" w:hAnsi="Calibri"/>
          <w:color w:val="525866"/>
          <w:sz w:val="22"/>
        </w:rPr>
        <w:t xml:space="preserve"> — they raised full-year DEPS guidance by $0.50 at the midpoint to $21.80–$22.05 while explicitly refusing to bake in any recovery in Deltek GovCon, DAT freight, or Neptune, leaving meaningful optionality if any of those segments inflect. Estimate revisions have been broadly stable since the Q1 print, with the 2026FY consensus holding near $21.94, suggesting the Street has largely digested the raise without adding incremental optimism. </w:t>
      </w:r>
      <w:r>
        <w:rPr>
          <w:rFonts w:ascii="Calibri" w:hAnsi="Calibri"/>
          <w:b/>
          <w:color w:val="525866"/>
          <w:sz w:val="22"/>
        </w:rPr>
        <w:t>The stock has underperformed IGV materially since last earnings</w:t>
      </w:r>
      <w:r>
        <w:rPr>
          <w:rFonts w:ascii="Calibri" w:hAnsi="Calibri"/>
          <w:color w:val="525866"/>
          <w:sz w:val="22"/>
        </w:rPr>
        <w:t xml:space="preserve"> — down ~7% vs. IGV up ~7% — reflecting both sector rotation away from lower-growth compounders and specific concerns about TEP margin pressure from bronze ingot inflation at Neptune and a tough Q2 comp. The wildcard is software bookings: if enterprise software bookings (core up low-double digits TTM through Q1) sustain momentum and AI-influenced wins at CentralReach, Vertafore, and ConstructConnect continue to broaden, the market may begin to re-rate the organic growth trajectory higher — the one catalyst that could close the valuation gap to historical levels.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 DEPS sits at the midpoint of guidance and organic growth expectations (~4.3%) are below the 5–6% full-year guide. The bigger swing factor is organic growth: a 5%+ print would signal Q1 was not a one-quarter fluke and could re-rate the stock.</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(Net Sales)</w:t>
            </w:r>
          </w:p>
        </w:tc>
        <w:tc>
          <w:tcPr>
            <w:tcW w:type="dxa" w:w="1234"/>
          </w:tcPr>
          <w:p>
            <w:r>
              <w:rPr>
                <w:rFonts w:ascii="Calibri" w:hAnsi="Calibri"/>
                <w:sz w:val="22"/>
              </w:rPr>
              <w:t>$2,095M</w:t>
            </w:r>
          </w:p>
        </w:tc>
        <w:tc>
          <w:tcPr>
            <w:tcW w:type="dxa" w:w="1234"/>
          </w:tcPr>
          <w:p>
            <w:r>
              <w:rPr>
                <w:rFonts w:ascii="Calibri" w:hAnsi="Calibri"/>
                <w:sz w:val="22"/>
              </w:rPr>
              <w:t>$1,944M</w:t>
            </w:r>
          </w:p>
        </w:tc>
        <w:tc>
          <w:tcPr>
            <w:tcW w:type="dxa" w:w="1234"/>
          </w:tcPr>
          <w:p>
            <w:r>
              <w:rPr>
                <w:rFonts w:ascii="Calibri" w:hAnsi="Calibri"/>
                <w:sz w:val="22"/>
              </w:rPr>
              <w:t>$2,097M</w:t>
            </w:r>
          </w:p>
        </w:tc>
        <w:tc>
          <w:tcPr>
            <w:tcW w:type="dxa" w:w="1234"/>
          </w:tcPr>
          <w:p>
            <w:r>
              <w:rPr>
                <w:rFonts w:ascii="Calibri" w:hAnsi="Calibri"/>
                <w:sz w:val="22"/>
              </w:rPr>
              <w:t>+7.9% YoY</w:t>
            </w:r>
          </w:p>
        </w:tc>
        <w:tc>
          <w:tcPr>
            <w:tcW w:type="dxa" w:w="1234"/>
          </w:tcPr>
          <w:p>
            <w:r>
              <w:rPr>
                <w:rFonts w:ascii="Calibri" w:hAnsi="Calibri"/>
                <w:sz w:val="22"/>
              </w:rPr>
              <w:t>~8% total growth (FY guide)</w:t>
            </w:r>
          </w:p>
        </w:tc>
        <w:tc>
          <w:tcPr>
            <w:tcW w:type="dxa" w:w="1234"/>
          </w:tcPr>
          <w:p>
            <w:r>
              <w:rPr>
                <w:rFonts w:ascii="Calibri" w:hAnsi="Calibri"/>
                <w:sz w:val="22"/>
              </w:rPr>
              <w:t>In line</w:t>
            </w:r>
          </w:p>
        </w:tc>
      </w:tr>
      <w:tr>
        <w:tc>
          <w:tcPr>
            <w:tcW w:type="dxa" w:w="1234"/>
          </w:tcPr>
          <w:p>
            <w:r>
              <w:rPr>
                <w:rFonts w:ascii="Calibri" w:hAnsi="Calibri"/>
                <w:sz w:val="22"/>
              </w:rPr>
              <w:t>Adjusted DEPS (Operating EPS)</w:t>
            </w:r>
          </w:p>
        </w:tc>
        <w:tc>
          <w:tcPr>
            <w:tcW w:type="dxa" w:w="1234"/>
          </w:tcPr>
          <w:p>
            <w:r>
              <w:rPr>
                <w:rFonts w:ascii="Calibri" w:hAnsi="Calibri"/>
                <w:sz w:val="22"/>
              </w:rPr>
              <w:t>$5.16</w:t>
            </w:r>
          </w:p>
        </w:tc>
        <w:tc>
          <w:tcPr>
            <w:tcW w:type="dxa" w:w="1234"/>
          </w:tcPr>
          <w:p>
            <w:r>
              <w:rPr>
                <w:rFonts w:ascii="Calibri" w:hAnsi="Calibri"/>
                <w:sz w:val="22"/>
              </w:rPr>
              <w:t>$4.87</w:t>
            </w:r>
          </w:p>
        </w:tc>
        <w:tc>
          <w:tcPr>
            <w:tcW w:type="dxa" w:w="1234"/>
          </w:tcPr>
          <w:p>
            <w:r>
              <w:rPr>
                <w:rFonts w:ascii="Calibri" w:hAnsi="Calibri"/>
                <w:sz w:val="22"/>
              </w:rPr>
              <w:t>$5.28</w:t>
            </w:r>
          </w:p>
        </w:tc>
        <w:tc>
          <w:tcPr>
            <w:tcW w:type="dxa" w:w="1234"/>
          </w:tcPr>
          <w:p>
            <w:r>
              <w:rPr>
                <w:rFonts w:ascii="Calibri" w:hAnsi="Calibri"/>
                <w:sz w:val="22"/>
              </w:rPr>
              <w:t>+8.4% YoY</w:t>
            </w:r>
          </w:p>
        </w:tc>
        <w:tc>
          <w:tcPr>
            <w:tcW w:type="dxa" w:w="1234"/>
          </w:tcPr>
          <w:p>
            <w:r>
              <w:rPr>
                <w:rFonts w:ascii="Calibri" w:hAnsi="Calibri"/>
                <w:sz w:val="22"/>
              </w:rPr>
              <w:t>$5.25–$5.30</w:t>
            </w:r>
          </w:p>
        </w:tc>
        <w:tc>
          <w:tcPr>
            <w:tcW w:type="dxa" w:w="1234"/>
          </w:tcPr>
          <w:p>
            <w:r>
              <w:rPr>
                <w:rFonts w:ascii="Calibri" w:hAnsi="Calibri"/>
                <w:sz w:val="22"/>
              </w:rPr>
              <w:t>−0.2% (at low end)</w:t>
            </w:r>
          </w:p>
        </w:tc>
      </w:tr>
      <w:tr>
        <w:tc>
          <w:tcPr>
            <w:tcW w:type="dxa" w:w="1234"/>
          </w:tcPr>
          <w:p>
            <w:r>
              <w:rPr>
                <w:rFonts w:ascii="Calibri" w:hAnsi="Calibri"/>
                <w:sz w:val="22"/>
              </w:rPr>
              <w:t>Organic Revenue Growth</w:t>
            </w:r>
          </w:p>
        </w:tc>
        <w:tc>
          <w:tcPr>
            <w:tcW w:type="dxa" w:w="1234"/>
          </w:tcPr>
          <w:p>
            <w:r>
              <w:rPr>
                <w:rFonts w:ascii="Calibri" w:hAnsi="Calibri"/>
                <w:sz w:val="22"/>
              </w:rPr>
              <w:t>6%</w:t>
            </w:r>
          </w:p>
        </w:tc>
        <w:tc>
          <w:tcPr>
            <w:tcW w:type="dxa" w:w="1234"/>
          </w:tcPr>
          <w:p>
            <w:r>
              <w:rPr>
                <w:rFonts w:ascii="Calibri" w:hAnsi="Calibri"/>
                <w:sz w:val="22"/>
              </w:rPr>
              <w:t>7%</w:t>
            </w:r>
          </w:p>
        </w:tc>
        <w:tc>
          <w:tcPr>
            <w:tcW w:type="dxa" w:w="1234"/>
          </w:tcPr>
          <w:p>
            <w:r>
              <w:rPr>
                <w:rFonts w:ascii="Calibri" w:hAnsi="Calibri"/>
                <w:sz w:val="22"/>
              </w:rPr>
              <w:t>~4.3%</w:t>
            </w:r>
          </w:p>
        </w:tc>
        <w:tc>
          <w:tcPr>
            <w:tcW w:type="dxa" w:w="1234"/>
          </w:tcPr>
          <w:p>
            <w:r>
              <w:rPr>
                <w:rFonts w:ascii="Calibri" w:hAnsi="Calibri"/>
                <w:sz w:val="22"/>
              </w:rPr>
              <w:t>−2.7pp YoY</w:t>
            </w:r>
          </w:p>
        </w:tc>
        <w:tc>
          <w:tcPr>
            <w:tcW w:type="dxa" w:w="1234"/>
          </w:tcPr>
          <w:p>
            <w:r>
              <w:rPr>
                <w:rFonts w:ascii="Calibri" w:hAnsi="Calibri"/>
                <w:sz w:val="22"/>
              </w:rPr>
              <w:t>5–6% (FY guide)</w:t>
            </w:r>
          </w:p>
        </w:tc>
        <w:tc>
          <w:tcPr>
            <w:tcW w:type="dxa" w:w="1234"/>
          </w:tcPr>
          <w:p>
            <w:r>
              <w:rPr>
                <w:rFonts w:ascii="Calibri" w:hAnsi="Calibri"/>
                <w:sz w:val="22"/>
              </w:rPr>
              <w:t>Below FY midpoint</w:t>
            </w:r>
          </w:p>
        </w:tc>
      </w:tr>
      <w:tr>
        <w:tc>
          <w:tcPr>
            <w:tcW w:type="dxa" w:w="1234"/>
          </w:tcPr>
          <w:p>
            <w:r>
              <w:rPr>
                <w:rFonts w:ascii="Calibri" w:hAnsi="Calibri"/>
                <w:sz w:val="22"/>
              </w:rPr>
              <w:t>EBITA Margin (Operating)</w:t>
            </w:r>
          </w:p>
        </w:tc>
        <w:tc>
          <w:tcPr>
            <w:tcW w:type="dxa" w:w="1234"/>
          </w:tcPr>
          <w:p>
            <w:r>
              <w:rPr>
                <w:rFonts w:ascii="Calibri" w:hAnsi="Calibri"/>
                <w:sz w:val="22"/>
              </w:rPr>
              <w:t>37.6%</w:t>
            </w:r>
          </w:p>
        </w:tc>
        <w:tc>
          <w:tcPr>
            <w:tcW w:type="dxa" w:w="1234"/>
          </w:tcPr>
          <w:p>
            <w:r>
              <w:rPr>
                <w:rFonts w:ascii="Calibri" w:hAnsi="Calibri"/>
                <w:sz w:val="22"/>
              </w:rPr>
              <w:t>39.4%</w:t>
            </w:r>
          </w:p>
        </w:tc>
        <w:tc>
          <w:tcPr>
            <w:tcW w:type="dxa" w:w="1234"/>
          </w:tcPr>
          <w:p>
            <w:r>
              <w:rPr>
                <w:rFonts w:ascii="Calibri" w:hAnsi="Calibri"/>
                <w:sz w:val="22"/>
              </w:rPr>
              <w:t>~38.5%</w:t>
            </w:r>
          </w:p>
        </w:tc>
        <w:tc>
          <w:tcPr>
            <w:tcW w:type="dxa" w:w="1234"/>
          </w:tcPr>
          <w:p>
            <w:r>
              <w:rPr>
                <w:rFonts w:ascii="Calibri" w:hAnsi="Calibri"/>
                <w:sz w:val="22"/>
              </w:rPr>
              <w:t>−0.9pp YoY</w:t>
            </w:r>
          </w:p>
        </w:tc>
        <w:tc>
          <w:tcPr>
            <w:tcW w:type="dxa" w:w="1234"/>
          </w:tcPr>
          <w:p>
            <w:r>
              <w:rPr>
                <w:rFonts w:ascii="Calibri" w:hAnsi="Calibri"/>
                <w:sz w:val="22"/>
              </w:rPr>
              <w:t>N/A (not guided explicitly)</w:t>
            </w:r>
          </w:p>
        </w:tc>
        <w:tc>
          <w:tcPr>
            <w:tcW w:type="dxa" w:w="1234"/>
          </w:tcPr>
          <w:p>
            <w:r>
              <w:rPr>
                <w:rFonts w:ascii="Calibri" w:hAnsi="Calibri"/>
                <w:sz w:val="22"/>
              </w:rPr>
              <w:t>N/A</w:t>
            </w:r>
          </w:p>
        </w:tc>
      </w:tr>
      <w:tr>
        <w:tc>
          <w:tcPr>
            <w:tcW w:type="dxa" w:w="1234"/>
          </w:tcPr>
          <w:p>
            <w:r>
              <w:rPr>
                <w:rFonts w:ascii="Calibri" w:hAnsi="Calibri"/>
                <w:sz w:val="22"/>
              </w:rPr>
              <w:t>Adjusted Free Cash Flow</w:t>
            </w:r>
          </w:p>
        </w:tc>
        <w:tc>
          <w:tcPr>
            <w:tcW w:type="dxa" w:w="1234"/>
          </w:tcPr>
          <w:p>
            <w:r>
              <w:rPr>
                <w:rFonts w:ascii="Calibri" w:hAnsi="Calibri"/>
                <w:sz w:val="22"/>
              </w:rPr>
              <w:t>$562M</w:t>
            </w:r>
          </w:p>
        </w:tc>
        <w:tc>
          <w:tcPr>
            <w:tcW w:type="dxa" w:w="1234"/>
          </w:tcPr>
          <w:p>
            <w:r>
              <w:rPr>
                <w:rFonts w:ascii="Calibri" w:hAnsi="Calibri"/>
                <w:sz w:val="22"/>
              </w:rPr>
              <w:t>$403M</w:t>
            </w:r>
          </w:p>
        </w:tc>
        <w:tc>
          <w:tcPr>
            <w:tcW w:type="dxa" w:w="1234"/>
          </w:tcPr>
          <w:p>
            <w:r>
              <w:rPr>
                <w:rFonts w:ascii="Calibri" w:hAnsi="Calibri"/>
                <w:sz w:val="22"/>
              </w:rPr>
              <w:t>$540M</w:t>
            </w:r>
          </w:p>
        </w:tc>
        <w:tc>
          <w:tcPr>
            <w:tcW w:type="dxa" w:w="1234"/>
          </w:tcPr>
          <w:p>
            <w:r>
              <w:rPr>
                <w:rFonts w:ascii="Calibri" w:hAnsi="Calibri"/>
                <w:sz w:val="22"/>
              </w:rPr>
              <w:t>+34% YoY</w:t>
            </w:r>
          </w:p>
        </w:tc>
        <w:tc>
          <w:tcPr>
            <w:tcW w:type="dxa" w:w="1234"/>
          </w:tcPr>
          <w:p>
            <w:r>
              <w:rPr>
                <w:rFonts w:ascii="Calibri" w:hAnsi="Calibri"/>
                <w:sz w:val="22"/>
              </w:rPr>
              <w:t>N/A (not guided quarterly)</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Visible Alpha Consensus and Actuals Data; Q1 2026 Earnings Release (April 23, 2026); Q1 2026 Earnings Call Transcript. Q2 2026 consensus estimates as of July 22, 2026. Q1 2026 Actual DEPS of $5.16 per earnings release; Q2 2025 Actual DEPS of $4.87 per earnings release. Organic growth consensus ~4.3% and EBITA margin ~38.5% from Visible Alpha. Adjusted FCF Q2 2025 actual $403M and Q2 2026 consensus ~$540M from Visible Alpha.</w:t>
      </w:r>
    </w:p>
    <w:p>
      <w:pPr>
        <w:pStyle w:val="Heading3"/>
      </w:pPr>
      <w:r>
        <w:rPr>
          <w:rFonts w:ascii="Calibri" w:hAnsi="Calibri"/>
          <w:b/>
          <w:color w:val="3B4259"/>
          <w:sz w:val="24"/>
        </w:rPr>
        <w:t>Table 2 — Beat/Miss History: Last 8 Quarters (Top 2 KPIs: Adjusted DEPS &amp; Organic Revenue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DEPS</w:t>
            </w:r>
          </w:p>
        </w:tc>
        <w:tc>
          <w:tcPr>
            <w:tcW w:type="dxa" w:w="1440"/>
          </w:tcPr>
          <w:p>
            <w:r>
              <w:rPr>
                <w:rFonts w:ascii="Calibri" w:hAnsi="Calibri"/>
                <w:sz w:val="22"/>
              </w:rPr>
              <w:t>$5.16</w:t>
            </w:r>
          </w:p>
        </w:tc>
        <w:tc>
          <w:tcPr>
            <w:tcW w:type="dxa" w:w="1440"/>
          </w:tcPr>
          <w:p>
            <w:r>
              <w:rPr>
                <w:rFonts w:ascii="Calibri" w:hAnsi="Calibri"/>
                <w:sz w:val="22"/>
              </w:rPr>
              <w:t>$4.99</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6%</w:t>
            </w:r>
          </w:p>
        </w:tc>
        <w:tc>
          <w:tcPr>
            <w:tcW w:type="dxa" w:w="1440"/>
          </w:tcPr>
          <w:p>
            <w:r>
              <w:rPr>
                <w:rFonts w:ascii="Calibri" w:hAnsi="Calibri"/>
                <w:sz w:val="22"/>
              </w:rPr>
              <w:t>~4.6%</w:t>
            </w:r>
          </w:p>
        </w:tc>
        <w:tc>
          <w:tcPr>
            <w:tcW w:type="dxa" w:w="1440"/>
          </w:tcPr>
          <w:p>
            <w:r>
              <w:rPr>
                <w:rFonts w:ascii="Calibri" w:hAnsi="Calibri"/>
                <w:b/>
                <w:color w:val="30A46C"/>
                <w:sz w:val="22"/>
              </w:rPr>
              <w:t>+1.4pp</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DEPS</w:t>
            </w:r>
          </w:p>
        </w:tc>
        <w:tc>
          <w:tcPr>
            <w:tcW w:type="dxa" w:w="1440"/>
          </w:tcPr>
          <w:p>
            <w:r>
              <w:rPr>
                <w:rFonts w:ascii="Calibri" w:hAnsi="Calibri"/>
                <w:sz w:val="22"/>
              </w:rPr>
              <w:t>$5.21</w:t>
            </w:r>
          </w:p>
        </w:tc>
        <w:tc>
          <w:tcPr>
            <w:tcW w:type="dxa" w:w="1440"/>
          </w:tcPr>
          <w:p>
            <w:r>
              <w:rPr>
                <w:rFonts w:ascii="Calibri" w:hAnsi="Calibri"/>
                <w:sz w:val="22"/>
              </w:rPr>
              <w:t>$5.14</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4%</w:t>
            </w:r>
          </w:p>
        </w:tc>
        <w:tc>
          <w:tcPr>
            <w:tcW w:type="dxa" w:w="1440"/>
          </w:tcPr>
          <w:p>
            <w:r>
              <w:rPr>
                <w:rFonts w:ascii="Calibri" w:hAnsi="Calibri"/>
                <w:sz w:val="22"/>
              </w:rPr>
              <w:t>~5.3%</w:t>
            </w:r>
          </w:p>
        </w:tc>
        <w:tc>
          <w:tcPr>
            <w:tcW w:type="dxa" w:w="1440"/>
          </w:tcPr>
          <w:p>
            <w:r>
              <w:rPr>
                <w:rFonts w:ascii="Calibri" w:hAnsi="Calibri"/>
                <w:b/>
                <w:color w:val="E5484D"/>
                <w:sz w:val="22"/>
              </w:rPr>
              <w:t>−1.3pp</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DEPS</w:t>
            </w:r>
          </w:p>
        </w:tc>
        <w:tc>
          <w:tcPr>
            <w:tcW w:type="dxa" w:w="1440"/>
          </w:tcPr>
          <w:p>
            <w:r>
              <w:rPr>
                <w:rFonts w:ascii="Calibri" w:hAnsi="Calibri"/>
                <w:sz w:val="22"/>
              </w:rPr>
              <w:t>$5.14</w:t>
            </w:r>
          </w:p>
        </w:tc>
        <w:tc>
          <w:tcPr>
            <w:tcW w:type="dxa" w:w="1440"/>
          </w:tcPr>
          <w:p>
            <w:r>
              <w:rPr>
                <w:rFonts w:ascii="Calibri" w:hAnsi="Calibri"/>
                <w:sz w:val="22"/>
              </w:rPr>
              <w:t>$5.11</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6%</w:t>
            </w:r>
          </w:p>
        </w:tc>
        <w:tc>
          <w:tcPr>
            <w:tcW w:type="dxa" w:w="1440"/>
          </w:tcPr>
          <w:p>
            <w:r>
              <w:rPr>
                <w:rFonts w:ascii="Calibri" w:hAnsi="Calibri"/>
                <w:sz w:val="22"/>
              </w:rPr>
              <w:t>~7.7%</w:t>
            </w:r>
          </w:p>
        </w:tc>
        <w:tc>
          <w:tcPr>
            <w:tcW w:type="dxa" w:w="1440"/>
          </w:tcPr>
          <w:p>
            <w:r>
              <w:rPr>
                <w:rFonts w:ascii="Calibri" w:hAnsi="Calibri"/>
                <w:b/>
                <w:color w:val="E5484D"/>
                <w:sz w:val="22"/>
              </w:rPr>
              <w:t>−1.7pp</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DEPS</w:t>
            </w:r>
          </w:p>
        </w:tc>
        <w:tc>
          <w:tcPr>
            <w:tcW w:type="dxa" w:w="1440"/>
          </w:tcPr>
          <w:p>
            <w:r>
              <w:rPr>
                <w:rFonts w:ascii="Calibri" w:hAnsi="Calibri"/>
                <w:sz w:val="22"/>
              </w:rPr>
              <w:t>$4.87</w:t>
            </w:r>
          </w:p>
        </w:tc>
        <w:tc>
          <w:tcPr>
            <w:tcW w:type="dxa" w:w="1440"/>
          </w:tcPr>
          <w:p>
            <w:r>
              <w:rPr>
                <w:rFonts w:ascii="Calibri" w:hAnsi="Calibri"/>
                <w:sz w:val="22"/>
              </w:rPr>
              <w:t>$4.82</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7%</w:t>
            </w:r>
          </w:p>
        </w:tc>
        <w:tc>
          <w:tcPr>
            <w:tcW w:type="dxa" w:w="1440"/>
          </w:tcPr>
          <w:p>
            <w:r>
              <w:rPr>
                <w:rFonts w:ascii="Calibri" w:hAnsi="Calibri"/>
                <w:sz w:val="22"/>
              </w:rPr>
              <w:t>~6.3%</w:t>
            </w:r>
          </w:p>
        </w:tc>
        <w:tc>
          <w:tcPr>
            <w:tcW w:type="dxa" w:w="1440"/>
          </w:tcPr>
          <w:p>
            <w:r>
              <w:rPr>
                <w:rFonts w:ascii="Calibri" w:hAnsi="Calibri"/>
                <w:b/>
                <w:color w:val="30A46C"/>
                <w:sz w:val="22"/>
              </w:rPr>
              <w:t>+0.7pp</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DEPS</w:t>
            </w:r>
          </w:p>
        </w:tc>
        <w:tc>
          <w:tcPr>
            <w:tcW w:type="dxa" w:w="1440"/>
          </w:tcPr>
          <w:p>
            <w:r>
              <w:rPr>
                <w:rFonts w:ascii="Calibri" w:hAnsi="Calibri"/>
                <w:sz w:val="22"/>
              </w:rPr>
              <w:t>$4.78</w:t>
            </w:r>
          </w:p>
        </w:tc>
        <w:tc>
          <w:tcPr>
            <w:tcW w:type="dxa" w:w="1440"/>
          </w:tcPr>
          <w:p>
            <w:r>
              <w:rPr>
                <w:rFonts w:ascii="Calibri" w:hAnsi="Calibri"/>
                <w:sz w:val="22"/>
              </w:rPr>
              <w:t>$4.74</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Organic Growth</w:t>
            </w:r>
          </w:p>
        </w:tc>
        <w:tc>
          <w:tcPr>
            <w:tcW w:type="dxa" w:w="1440"/>
          </w:tcPr>
          <w:p>
            <w:r>
              <w:rPr>
                <w:rFonts w:ascii="Calibri" w:hAnsi="Calibri"/>
                <w:sz w:val="22"/>
              </w:rPr>
              <w:t>5%</w:t>
            </w:r>
          </w:p>
        </w:tc>
        <w:tc>
          <w:tcPr>
            <w:tcW w:type="dxa" w:w="1440"/>
          </w:tcPr>
          <w:p>
            <w:r>
              <w:rPr>
                <w:rFonts w:ascii="Calibri" w:hAnsi="Calibri"/>
                <w:sz w:val="22"/>
              </w:rPr>
              <w:t>~5.0%</w:t>
            </w:r>
          </w:p>
        </w:tc>
        <w:tc>
          <w:tcPr>
            <w:tcW w:type="dxa" w:w="1440"/>
          </w:tcPr>
          <w:p>
            <w:r>
              <w:rPr>
                <w:rFonts w:ascii="Calibri" w:hAnsi="Calibri"/>
                <w:sz w:val="22"/>
              </w:rPr>
              <w:t>In line</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Adj. DEPS</w:t>
            </w:r>
          </w:p>
        </w:tc>
        <w:tc>
          <w:tcPr>
            <w:tcW w:type="dxa" w:w="1440"/>
          </w:tcPr>
          <w:p>
            <w:r>
              <w:rPr>
                <w:rFonts w:ascii="Calibri" w:hAnsi="Calibri"/>
                <w:sz w:val="22"/>
              </w:rPr>
              <w:t>$4.81</w:t>
            </w:r>
          </w:p>
        </w:tc>
        <w:tc>
          <w:tcPr>
            <w:tcW w:type="dxa" w:w="1440"/>
          </w:tcPr>
          <w:p>
            <w:r>
              <w:rPr>
                <w:rFonts w:ascii="Calibri" w:hAnsi="Calibri"/>
                <w:sz w:val="22"/>
              </w:rPr>
              <w:t>$4.76</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Organic Growth</w:t>
            </w:r>
          </w:p>
        </w:tc>
        <w:tc>
          <w:tcPr>
            <w:tcW w:type="dxa" w:w="1440"/>
          </w:tcPr>
          <w:p>
            <w:r>
              <w:rPr>
                <w:rFonts w:ascii="Calibri" w:hAnsi="Calibri"/>
                <w:sz w:val="22"/>
              </w:rPr>
              <w:t>7%</w:t>
            </w:r>
          </w:p>
        </w:tc>
        <w:tc>
          <w:tcPr>
            <w:tcW w:type="dxa" w:w="1440"/>
          </w:tcPr>
          <w:p>
            <w:r>
              <w:rPr>
                <w:rFonts w:ascii="Calibri" w:hAnsi="Calibri"/>
                <w:sz w:val="22"/>
              </w:rPr>
              <w:t>~5.7%</w:t>
            </w:r>
          </w:p>
        </w:tc>
        <w:tc>
          <w:tcPr>
            <w:tcW w:type="dxa" w:w="1440"/>
          </w:tcPr>
          <w:p>
            <w:r>
              <w:rPr>
                <w:rFonts w:ascii="Calibri" w:hAnsi="Calibri"/>
                <w:b/>
                <w:color w:val="30A46C"/>
                <w:sz w:val="22"/>
              </w:rPr>
              <w:t>+1.3pp</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DEPS</w:t>
            </w:r>
          </w:p>
        </w:tc>
        <w:tc>
          <w:tcPr>
            <w:tcW w:type="dxa" w:w="1440"/>
          </w:tcPr>
          <w:p>
            <w:r>
              <w:rPr>
                <w:rFonts w:ascii="Calibri" w:hAnsi="Calibri"/>
                <w:sz w:val="22"/>
              </w:rPr>
              <w:t>$4.62</w:t>
            </w:r>
          </w:p>
        </w:tc>
        <w:tc>
          <w:tcPr>
            <w:tcW w:type="dxa" w:w="1440"/>
          </w:tcPr>
          <w:p>
            <w:r>
              <w:rPr>
                <w:rFonts w:ascii="Calibri" w:hAnsi="Calibri"/>
                <w:sz w:val="22"/>
              </w:rPr>
              <w:t>$4.52</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Organic Growth</w:t>
            </w:r>
          </w:p>
        </w:tc>
        <w:tc>
          <w:tcPr>
            <w:tcW w:type="dxa" w:w="1440"/>
          </w:tcPr>
          <w:p>
            <w:r>
              <w:rPr>
                <w:rFonts w:ascii="Calibri" w:hAnsi="Calibri"/>
                <w:sz w:val="22"/>
              </w:rPr>
              <w:t>4%</w:t>
            </w:r>
          </w:p>
        </w:tc>
        <w:tc>
          <w:tcPr>
            <w:tcW w:type="dxa" w:w="1440"/>
          </w:tcPr>
          <w:p>
            <w:r>
              <w:rPr>
                <w:rFonts w:ascii="Calibri" w:hAnsi="Calibri"/>
                <w:sz w:val="22"/>
              </w:rPr>
              <w:t>~4.7%</w:t>
            </w:r>
          </w:p>
        </w:tc>
        <w:tc>
          <w:tcPr>
            <w:tcW w:type="dxa" w:w="1440"/>
          </w:tcPr>
          <w:p>
            <w:r>
              <w:rPr>
                <w:rFonts w:ascii="Calibri" w:hAnsi="Calibri"/>
                <w:b/>
                <w:color w:val="E5484D"/>
                <w:sz w:val="22"/>
              </w:rPr>
              <w:t>−0.7pp</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DEPS</w:t>
            </w:r>
          </w:p>
        </w:tc>
        <w:tc>
          <w:tcPr>
            <w:tcW w:type="dxa" w:w="1440"/>
          </w:tcPr>
          <w:p>
            <w:r>
              <w:rPr>
                <w:rFonts w:ascii="Calibri" w:hAnsi="Calibri"/>
                <w:sz w:val="22"/>
              </w:rPr>
              <w:t>$4.48</w:t>
            </w:r>
          </w:p>
        </w:tc>
        <w:tc>
          <w:tcPr>
            <w:tcW w:type="dxa" w:w="1440"/>
          </w:tcPr>
          <w:p>
            <w:r>
              <w:rPr>
                <w:rFonts w:ascii="Calibri" w:hAnsi="Calibri"/>
                <w:sz w:val="22"/>
              </w:rPr>
              <w:t>$4.47</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Organic Growth</w:t>
            </w:r>
          </w:p>
        </w:tc>
        <w:tc>
          <w:tcPr>
            <w:tcW w:type="dxa" w:w="1440"/>
          </w:tcPr>
          <w:p>
            <w:r>
              <w:rPr>
                <w:rFonts w:ascii="Calibri" w:hAnsi="Calibri"/>
                <w:sz w:val="22"/>
              </w:rPr>
              <w:t>4%</w:t>
            </w:r>
          </w:p>
        </w:tc>
        <w:tc>
          <w:tcPr>
            <w:tcW w:type="dxa" w:w="1440"/>
          </w:tcPr>
          <w:p>
            <w:r>
              <w:rPr>
                <w:rFonts w:ascii="Calibri" w:hAnsi="Calibri"/>
                <w:sz w:val="22"/>
              </w:rPr>
              <w:t>~5.0%</w:t>
            </w:r>
          </w:p>
        </w:tc>
        <w:tc>
          <w:tcPr>
            <w:tcW w:type="dxa" w:w="1440"/>
          </w:tcPr>
          <w:p>
            <w:r>
              <w:rPr>
                <w:rFonts w:ascii="Calibri" w:hAnsi="Calibri"/>
                <w:b/>
                <w:color w:val="E5484D"/>
                <w:sz w:val="22"/>
              </w:rPr>
              <w:t>−1.0pp</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ROP has beaten adjusted DEPS consensus in all 8 of the last 8 quarters; organic growth has been more volatile, missing in 4 of 8 quarters — the key risk is that the Street's ~4.3% Q2 organic estimate may still be too high given the TEP segment comp headwind and continued GovCon softness flagged on the Q1 call.</w:t>
      </w:r>
    </w:p>
    <w:p>
      <w:r>
        <w:rPr>
          <w:rFonts w:ascii="Calibri" w:hAnsi="Calibri"/>
          <w:i/>
          <w:color w:val="525866"/>
          <w:sz w:val="22"/>
        </w:rPr>
        <w:t xml:space="preserve">Sources: </w:t>
      </w:r>
      <w:r>
        <w:rPr>
          <w:rFonts w:ascii="Calibri" w:hAnsi="Calibri"/>
          <w:i/>
          <w:color w:val="525866"/>
          <w:sz w:val="22"/>
        </w:rPr>
        <w:t>Visible Alpha Consensus and Actuals Data; ROP Q1 2026 Earnings Release; ROP Q1 2026 Earnings Call Transcript.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revised since the Q1 print — the $5.25–$5.30 Q2 DEPS range and $21.80–$22.05 full-year range stand as issued April 23. Tone is constructive but deliberately conservative, with management explicitly not baking in any recovery in three challenged segments.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Adjusted DEPS</w:t>
            </w:r>
          </w:p>
        </w:tc>
        <w:tc>
          <w:tcPr>
            <w:tcW w:type="dxa" w:w="1728"/>
          </w:tcPr>
          <w:p>
            <w:r>
              <w:rPr>
                <w:rFonts w:ascii="Calibri" w:hAnsi="Calibri"/>
                <w:sz w:val="22"/>
              </w:rPr>
              <w:t>$5.25–$5.30</w:t>
            </w:r>
          </w:p>
        </w:tc>
        <w:tc>
          <w:tcPr>
            <w:tcW w:type="dxa" w:w="1728"/>
          </w:tcPr>
          <w:p>
            <w:r>
              <w:rPr>
                <w:rFonts w:ascii="Calibri" w:hAnsi="Calibri"/>
                <w:sz w:val="22"/>
              </w:rPr>
              <w:t>—</w:t>
            </w:r>
          </w:p>
        </w:tc>
        <w:tc>
          <w:tcPr>
            <w:tcW w:type="dxa" w:w="1728"/>
          </w:tcPr>
          <w:p>
            <w:r>
              <w:rPr>
                <w:rFonts w:ascii="Calibri" w:hAnsi="Calibri"/>
                <w:sz w:val="22"/>
              </w:rPr>
              <w:t>$5.28</w:t>
            </w:r>
          </w:p>
        </w:tc>
        <w:tc>
          <w:tcPr>
            <w:tcW w:type="dxa" w:w="1728"/>
          </w:tcPr>
          <w:p>
            <w:r>
              <w:rPr>
                <w:rFonts w:ascii="Calibri" w:hAnsi="Calibri"/>
                <w:sz w:val="22"/>
              </w:rPr>
              <w:t>No post-earnings revision; consensus at low end of range</w:t>
            </w:r>
          </w:p>
        </w:tc>
      </w:tr>
      <w:tr>
        <w:tc>
          <w:tcPr>
            <w:tcW w:type="dxa" w:w="1728"/>
          </w:tcPr>
          <w:p>
            <w:r>
              <w:rPr>
                <w:rFonts w:ascii="Calibri" w:hAnsi="Calibri"/>
                <w:sz w:val="22"/>
              </w:rPr>
              <w:t>FY 2026 Adjusted DEPS</w:t>
            </w:r>
          </w:p>
        </w:tc>
        <w:tc>
          <w:tcPr>
            <w:tcW w:type="dxa" w:w="1728"/>
          </w:tcPr>
          <w:p>
            <w:r>
              <w:rPr>
                <w:rFonts w:ascii="Calibri" w:hAnsi="Calibri"/>
                <w:sz w:val="22"/>
              </w:rPr>
              <w:t>$21.80–$22.05 (raised from $21.30–$21.55)</w:t>
            </w:r>
          </w:p>
        </w:tc>
        <w:tc>
          <w:tcPr>
            <w:tcW w:type="dxa" w:w="1728"/>
          </w:tcPr>
          <w:p>
            <w:r>
              <w:rPr>
                <w:rFonts w:ascii="Calibri" w:hAnsi="Calibri"/>
                <w:sz w:val="22"/>
              </w:rPr>
              <w:t>—</w:t>
            </w:r>
          </w:p>
        </w:tc>
        <w:tc>
          <w:tcPr>
            <w:tcW w:type="dxa" w:w="1728"/>
          </w:tcPr>
          <w:p>
            <w:r>
              <w:rPr>
                <w:rFonts w:ascii="Calibri" w:hAnsi="Calibri"/>
                <w:sz w:val="22"/>
              </w:rPr>
              <w:t>$21.94</w:t>
            </w:r>
          </w:p>
        </w:tc>
        <w:tc>
          <w:tcPr>
            <w:tcW w:type="dxa" w:w="1728"/>
          </w:tcPr>
          <w:p>
            <w:r>
              <w:rPr>
                <w:rFonts w:ascii="Calibri" w:hAnsi="Calibri"/>
                <w:sz w:val="22"/>
              </w:rPr>
              <w:t>Raised $0.50 at midpoint on Q1 beat + buyback benefit; no further revision since</w:t>
            </w:r>
          </w:p>
        </w:tc>
      </w:tr>
      <w:tr>
        <w:tc>
          <w:tcPr>
            <w:tcW w:type="dxa" w:w="1728"/>
          </w:tcPr>
          <w:p>
            <w:r>
              <w:rPr>
                <w:rFonts w:ascii="Calibri" w:hAnsi="Calibri"/>
                <w:sz w:val="22"/>
              </w:rPr>
              <w:t>FY 2026 Total Revenue Growth</w:t>
            </w:r>
          </w:p>
        </w:tc>
        <w:tc>
          <w:tcPr>
            <w:tcW w:type="dxa" w:w="1728"/>
          </w:tcPr>
          <w:p>
            <w:r>
              <w:rPr>
                <w:rFonts w:ascii="Calibri" w:hAnsi="Calibri"/>
                <w:sz w:val="22"/>
              </w:rPr>
              <w:t>~8%</w:t>
            </w:r>
          </w:p>
        </w:tc>
        <w:tc>
          <w:tcPr>
            <w:tcW w:type="dxa" w:w="1728"/>
          </w:tcPr>
          <w:p>
            <w:r>
              <w:rPr>
                <w:rFonts w:ascii="Calibri" w:hAnsi="Calibri"/>
                <w:sz w:val="22"/>
              </w:rPr>
              <w:t>—</w:t>
            </w:r>
          </w:p>
        </w:tc>
        <w:tc>
          <w:tcPr>
            <w:tcW w:type="dxa" w:w="1728"/>
          </w:tcPr>
          <w:p>
            <w:r>
              <w:rPr>
                <w:rFonts w:ascii="Calibri" w:hAnsi="Calibri"/>
                <w:sz w:val="22"/>
              </w:rPr>
              <w:t>~8% (in line)</w:t>
            </w:r>
          </w:p>
        </w:tc>
        <w:tc>
          <w:tcPr>
            <w:tcW w:type="dxa" w:w="1728"/>
          </w:tcPr>
          <w:p>
            <w:r>
              <w:rPr>
                <w:rFonts w:ascii="Calibri" w:hAnsi="Calibri"/>
                <w:sz w:val="22"/>
              </w:rPr>
              <w:t>Maintained; consensus tracking guidance</w:t>
            </w:r>
          </w:p>
        </w:tc>
      </w:tr>
      <w:tr>
        <w:tc>
          <w:tcPr>
            <w:tcW w:type="dxa" w:w="1728"/>
          </w:tcPr>
          <w:p>
            <w:r>
              <w:rPr>
                <w:rFonts w:ascii="Calibri" w:hAnsi="Calibri"/>
                <w:sz w:val="22"/>
              </w:rPr>
              <w:t>FY 2026 Organic Revenue Growth</w:t>
            </w:r>
          </w:p>
        </w:tc>
        <w:tc>
          <w:tcPr>
            <w:tcW w:type="dxa" w:w="1728"/>
          </w:tcPr>
          <w:p>
            <w:r>
              <w:rPr>
                <w:rFonts w:ascii="Calibri" w:hAnsi="Calibri"/>
                <w:sz w:val="22"/>
              </w:rPr>
              <w:t>5–6%</w:t>
            </w:r>
          </w:p>
        </w:tc>
        <w:tc>
          <w:tcPr>
            <w:tcW w:type="dxa" w:w="1728"/>
          </w:tcPr>
          <w:p>
            <w:r>
              <w:rPr>
                <w:rFonts w:ascii="Calibri" w:hAnsi="Calibri"/>
                <w:sz w:val="22"/>
              </w:rPr>
              <w:t>—</w:t>
            </w:r>
          </w:p>
        </w:tc>
        <w:tc>
          <w:tcPr>
            <w:tcW w:type="dxa" w:w="1728"/>
          </w:tcPr>
          <w:p>
            <w:r>
              <w:rPr>
                <w:rFonts w:ascii="Calibri" w:hAnsi="Calibri"/>
                <w:sz w:val="22"/>
              </w:rPr>
              <w:t>~5.6%</w:t>
            </w:r>
          </w:p>
        </w:tc>
        <w:tc>
          <w:tcPr>
            <w:tcW w:type="dxa" w:w="1728"/>
          </w:tcPr>
          <w:p>
            <w:r>
              <w:rPr>
                <w:rFonts w:ascii="Calibri" w:hAnsi="Calibri"/>
                <w:sz w:val="22"/>
              </w:rPr>
              <w:t>Consensus near midpoint; no GovCon, DAT, or Neptune recovery assumed</w:t>
            </w:r>
          </w:p>
        </w:tc>
      </w:tr>
      <w:tr>
        <w:tc>
          <w:tcPr>
            <w:tcW w:type="dxa" w:w="1728"/>
          </w:tcPr>
          <w:p>
            <w:r>
              <w:rPr>
                <w:rFonts w:ascii="Calibri" w:hAnsi="Calibri"/>
                <w:sz w:val="22"/>
              </w:rPr>
              <w:t>FY 2026 Tax Rate</w:t>
            </w:r>
          </w:p>
        </w:tc>
        <w:tc>
          <w:tcPr>
            <w:tcW w:type="dxa" w:w="1728"/>
          </w:tcPr>
          <w:p>
            <w:r>
              <w:rPr>
                <w:rFonts w:ascii="Calibri" w:hAnsi="Calibri"/>
                <w:sz w:val="22"/>
              </w:rPr>
              <w:t>~21% (Q2 slightly below)</w:t>
            </w:r>
          </w:p>
        </w:tc>
        <w:tc>
          <w:tcPr>
            <w:tcW w:type="dxa" w:w="1728"/>
          </w:tcPr>
          <w:p>
            <w:r>
              <w:rPr>
                <w:rFonts w:ascii="Calibri" w:hAnsi="Calibri"/>
                <w:sz w:val="22"/>
              </w:rPr>
              <w:t>—</w:t>
            </w:r>
          </w:p>
        </w:tc>
        <w:tc>
          <w:tcPr>
            <w:tcW w:type="dxa" w:w="1728"/>
          </w:tcPr>
          <w:p>
            <w:r>
              <w:rPr>
                <w:rFonts w:ascii="Calibri" w:hAnsi="Calibri"/>
                <w:sz w:val="22"/>
              </w:rPr>
              <w:t>~21%</w:t>
            </w:r>
          </w:p>
        </w:tc>
        <w:tc>
          <w:tcPr>
            <w:tcW w:type="dxa" w:w="1728"/>
          </w:tcPr>
          <w:p>
            <w:r>
              <w:rPr>
                <w:rFonts w:ascii="Calibri" w:hAnsi="Calibri"/>
                <w:sz w:val="22"/>
              </w:rPr>
              <w:t>Unchanged; Q2 expected slightly below 21%</w:t>
            </w:r>
          </w:p>
        </w:tc>
      </w:tr>
      <w:tr>
        <w:tc>
          <w:tcPr>
            <w:tcW w:type="dxa" w:w="1728"/>
          </w:tcPr>
          <w:p>
            <w:r>
              <w:rPr>
                <w:rFonts w:ascii="Calibri" w:hAnsi="Calibri"/>
                <w:sz w:val="22"/>
              </w:rPr>
              <w:t>Deltek GovCon</w:t>
            </w:r>
          </w:p>
        </w:tc>
        <w:tc>
          <w:tcPr>
            <w:tcW w:type="dxa" w:w="1728"/>
          </w:tcPr>
          <w:p>
            <w:r>
              <w:rPr>
                <w:rFonts w:ascii="Calibri" w:hAnsi="Calibri"/>
                <w:sz w:val="22"/>
              </w:rPr>
              <w:t>No inflection assumed; recurring revenue mid-single-digit+</w:t>
            </w:r>
          </w:p>
        </w:tc>
        <w:tc>
          <w:tcPr>
            <w:tcW w:type="dxa" w:w="1728"/>
          </w:tcPr>
          <w:p>
            <w:r>
              <w:rPr>
                <w:rFonts w:ascii="Calibri" w:hAnsi="Calibri"/>
                <w:sz w:val="22"/>
              </w:rPr>
              <w:t>—</w:t>
            </w:r>
          </w:p>
        </w:tc>
        <w:tc>
          <w:tcPr>
            <w:tcW w:type="dxa" w:w="1728"/>
          </w:tcPr>
          <w:p>
            <w:r>
              <w:rPr>
                <w:rFonts w:ascii="Calibri" w:hAnsi="Calibri"/>
                <w:sz w:val="22"/>
              </w:rPr>
              <w:t>N/A (not separately guided)</w:t>
            </w:r>
          </w:p>
        </w:tc>
        <w:tc>
          <w:tcPr>
            <w:tcW w:type="dxa" w:w="1728"/>
          </w:tcPr>
          <w:p>
            <w:r>
              <w:rPr>
                <w:rFonts w:ascii="Calibri" w:hAnsi="Calibri"/>
                <w:sz w:val="22"/>
              </w:rPr>
              <w:t>Mgmt explicitly not baking in GovCon or OBBB benefit; will adjust as conditions warrant</w:t>
            </w:r>
          </w:p>
        </w:tc>
      </w:tr>
      <w:tr>
        <w:tc>
          <w:tcPr>
            <w:tcW w:type="dxa" w:w="1728"/>
          </w:tcPr>
          <w:p>
            <w:r>
              <w:rPr>
                <w:rFonts w:ascii="Calibri" w:hAnsi="Calibri"/>
                <w:sz w:val="22"/>
              </w:rPr>
              <w:t>Neptune / TEP Segment</w:t>
            </w:r>
          </w:p>
        </w:tc>
        <w:tc>
          <w:tcPr>
            <w:tcW w:type="dxa" w:w="1728"/>
          </w:tcPr>
          <w:p>
            <w:r>
              <w:rPr>
                <w:rFonts w:ascii="Calibri" w:hAnsi="Calibri"/>
                <w:sz w:val="22"/>
              </w:rPr>
              <w:t>No Neptune recovery; raw material pressure continues in Q2, improving H2</w:t>
            </w:r>
          </w:p>
        </w:tc>
        <w:tc>
          <w:tcPr>
            <w:tcW w:type="dxa" w:w="1728"/>
          </w:tcPr>
          <w:p>
            <w:r>
              <w:rPr>
                <w:rFonts w:ascii="Calibri" w:hAnsi="Calibri"/>
                <w:sz w:val="22"/>
              </w:rPr>
              <w:t>—</w:t>
            </w:r>
          </w:p>
        </w:tc>
        <w:tc>
          <w:tcPr>
            <w:tcW w:type="dxa" w:w="1728"/>
          </w:tcPr>
          <w:p>
            <w:r>
              <w:rPr>
                <w:rFonts w:ascii="Calibri" w:hAnsi="Calibri"/>
                <w:sz w:val="22"/>
              </w:rPr>
              <w:t>N/A (not separately guided)</w:t>
            </w:r>
          </w:p>
        </w:tc>
        <w:tc>
          <w:tcPr>
            <w:tcW w:type="dxa" w:w="1728"/>
          </w:tcPr>
          <w:p>
            <w:r>
              <w:rPr>
                <w:rFonts w:ascii="Calibri" w:hAnsi="Calibri"/>
                <w:sz w:val="22"/>
              </w:rPr>
              <w:t>Bronze ingot inflation headwind; surcharge approach abandoned; regular-way pricing recovery over coming quarters</w:t>
            </w:r>
          </w:p>
        </w:tc>
      </w:tr>
      <w:tr>
        <w:tc>
          <w:tcPr>
            <w:tcW w:type="dxa" w:w="1728"/>
          </w:tcPr>
          <w:p>
            <w:r>
              <w:rPr>
                <w:rFonts w:ascii="Calibri" w:hAnsi="Calibri"/>
                <w:sz w:val="22"/>
              </w:rPr>
              <w:t>Share Repurchases</w:t>
            </w:r>
          </w:p>
        </w:tc>
        <w:tc>
          <w:tcPr>
            <w:tcW w:type="dxa" w:w="1728"/>
          </w:tcPr>
          <w:p>
            <w:r>
              <w:rPr>
                <w:rFonts w:ascii="Calibri" w:hAnsi="Calibri"/>
                <w:sz w:val="22"/>
              </w:rPr>
              <w:t>$3.8B remaining authorization; guidance excludes future buybacks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6M shares repurchased since Nov 2025 (~6% of SO); $5B+ total deployment capacity</w:t>
            </w:r>
          </w:p>
        </w:tc>
      </w:tr>
    </w:tbl>
    <w:p>
      <w:r>
        <w:rPr>
          <w:rFonts w:ascii="Calibri" w:hAnsi="Calibri"/>
          <w:i/>
          <w:color w:val="525866"/>
          <w:sz w:val="22"/>
        </w:rPr>
        <w:t xml:space="preserve">Source: </w:t>
      </w:r>
      <w:r>
        <w:rPr>
          <w:rFonts w:ascii="Calibri" w:hAnsi="Calibri"/>
          <w:i/>
          <w:color w:val="525866"/>
          <w:sz w:val="22"/>
        </w:rPr>
        <w:t>ROP Q1 2026 Earnings Call Transcript (April 23, 2026); ROP Q1 2026 Earnings Release (April 23,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stable-to-slightly-lower since the Q1 print — the FY 2026 DEPS consensus of $21.94 is essentially flat vs. the $21.93 level immediately post-Q1, suggesting the Street has absorbed the guidance raise without adding incremental optimism. The gap between consensus and the guidance midpoint is narrow, leaving little cushion if Q2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DEPS — Q2 2026</w:t>
            </w:r>
          </w:p>
        </w:tc>
        <w:tc>
          <w:tcPr>
            <w:tcW w:type="dxa" w:w="1080"/>
          </w:tcPr>
          <w:p>
            <w:r>
              <w:rPr>
                <w:rFonts w:ascii="Calibri" w:hAnsi="Calibri"/>
                <w:sz w:val="22"/>
              </w:rPr>
              <w:t>$5.31</w:t>
            </w:r>
          </w:p>
        </w:tc>
        <w:tc>
          <w:tcPr>
            <w:tcW w:type="dxa" w:w="1080"/>
          </w:tcPr>
          <w:p>
            <w:r>
              <w:rPr>
                <w:rFonts w:ascii="Calibri" w:hAnsi="Calibri"/>
                <w:sz w:val="22"/>
              </w:rPr>
              <w:t>$5.28</w:t>
            </w:r>
          </w:p>
        </w:tc>
        <w:tc>
          <w:tcPr>
            <w:tcW w:type="dxa" w:w="1080"/>
          </w:tcPr>
          <w:p>
            <w:r>
              <w:rPr>
                <w:rFonts w:ascii="Calibri" w:hAnsi="Calibri"/>
                <w:sz w:val="22"/>
              </w:rPr>
              <w:t>−0.6%</w:t>
            </w:r>
          </w:p>
        </w:tc>
        <w:tc>
          <w:tcPr>
            <w:tcW w:type="dxa" w:w="1080"/>
          </w:tcPr>
          <w:p>
            <w:r>
              <w:rPr>
                <w:rFonts w:ascii="Calibri" w:hAnsi="Calibri"/>
                <w:sz w:val="22"/>
              </w:rPr>
              <w:t>$5.25–$5.30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(at low end)</w:t>
            </w:r>
          </w:p>
        </w:tc>
      </w:tr>
      <w:tr>
        <w:tc>
          <w:tcPr>
            <w:tcW w:type="dxa" w:w="1080"/>
          </w:tcPr>
          <w:p>
            <w:r>
              <w:rPr>
                <w:rFonts w:ascii="Calibri" w:hAnsi="Calibri"/>
                <w:sz w:val="22"/>
              </w:rPr>
              <w:t>Adj. DEPS — FY 2026</w:t>
            </w:r>
          </w:p>
        </w:tc>
        <w:tc>
          <w:tcPr>
            <w:tcW w:type="dxa" w:w="1080"/>
          </w:tcPr>
          <w:p>
            <w:r>
              <w:rPr>
                <w:rFonts w:ascii="Calibri" w:hAnsi="Calibri"/>
                <w:sz w:val="22"/>
              </w:rPr>
              <w:t>$21.93</w:t>
            </w:r>
          </w:p>
        </w:tc>
        <w:tc>
          <w:tcPr>
            <w:tcW w:type="dxa" w:w="1080"/>
          </w:tcPr>
          <w:p>
            <w:r>
              <w:rPr>
                <w:rFonts w:ascii="Calibri" w:hAnsi="Calibri"/>
                <w:sz w:val="22"/>
              </w:rPr>
              <w:t>$21.94</w:t>
            </w:r>
          </w:p>
        </w:tc>
        <w:tc>
          <w:tcPr>
            <w:tcW w:type="dxa" w:w="1080"/>
          </w:tcPr>
          <w:p>
            <w:r>
              <w:rPr>
                <w:rFonts w:ascii="Calibri" w:hAnsi="Calibri"/>
                <w:sz w:val="22"/>
              </w:rPr>
              <w:t>+0.1%</w:t>
            </w:r>
          </w:p>
        </w:tc>
        <w:tc>
          <w:tcPr>
            <w:tcW w:type="dxa" w:w="1080"/>
          </w:tcPr>
          <w:p>
            <w:r>
              <w:rPr>
                <w:rFonts w:ascii="Calibri" w:hAnsi="Calibri"/>
                <w:sz w:val="22"/>
              </w:rPr>
              <w:t>$21.80–$22.05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(at midpoint)</w:t>
            </w:r>
          </w:p>
        </w:tc>
      </w:tr>
      <w:tr>
        <w:tc>
          <w:tcPr>
            <w:tcW w:type="dxa" w:w="1080"/>
          </w:tcPr>
          <w:p>
            <w:r>
              <w:rPr>
                <w:rFonts w:ascii="Calibri" w:hAnsi="Calibri"/>
                <w:sz w:val="22"/>
              </w:rPr>
              <w:t>Revenue — Q2 2026</w:t>
            </w:r>
          </w:p>
        </w:tc>
        <w:tc>
          <w:tcPr>
            <w:tcW w:type="dxa" w:w="1080"/>
          </w:tcPr>
          <w:p>
            <w:r>
              <w:rPr>
                <w:rFonts w:ascii="Calibri" w:hAnsi="Calibri"/>
                <w:sz w:val="22"/>
              </w:rPr>
              <w:t>$2,097M</w:t>
            </w:r>
          </w:p>
        </w:tc>
        <w:tc>
          <w:tcPr>
            <w:tcW w:type="dxa" w:w="1080"/>
          </w:tcPr>
          <w:p>
            <w:r>
              <w:rPr>
                <w:rFonts w:ascii="Calibri" w:hAnsi="Calibri"/>
                <w:sz w:val="22"/>
              </w:rPr>
              <w:t>$2,097M</w:t>
            </w:r>
          </w:p>
        </w:tc>
        <w:tc>
          <w:tcPr>
            <w:tcW w:type="dxa" w:w="1080"/>
          </w:tcPr>
          <w:p>
            <w:r>
              <w:rPr>
                <w:rFonts w:ascii="Calibri" w:hAnsi="Calibri"/>
                <w:sz w:val="22"/>
              </w:rPr>
              <w:t>Flat</w:t>
            </w:r>
          </w:p>
        </w:tc>
        <w:tc>
          <w:tcPr>
            <w:tcW w:type="dxa" w:w="1080"/>
          </w:tcPr>
          <w:p>
            <w:r>
              <w:rPr>
                <w:rFonts w:ascii="Calibri" w:hAnsi="Calibri"/>
                <w:sz w:val="22"/>
              </w:rPr>
              <w:t>~8% total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 2026</w:t>
            </w:r>
          </w:p>
        </w:tc>
        <w:tc>
          <w:tcPr>
            <w:tcW w:type="dxa" w:w="1080"/>
          </w:tcPr>
          <w:p>
            <w:r>
              <w:rPr>
                <w:rFonts w:ascii="Calibri" w:hAnsi="Calibri"/>
                <w:sz w:val="22"/>
              </w:rPr>
              <w:t>$8,547M</w:t>
            </w:r>
          </w:p>
        </w:tc>
        <w:tc>
          <w:tcPr>
            <w:tcW w:type="dxa" w:w="1080"/>
          </w:tcPr>
          <w:p>
            <w:r>
              <w:rPr>
                <w:rFonts w:ascii="Calibri" w:hAnsi="Calibri"/>
                <w:sz w:val="22"/>
              </w:rPr>
              <w:t>$8,547M</w:t>
            </w:r>
          </w:p>
        </w:tc>
        <w:tc>
          <w:tcPr>
            <w:tcW w:type="dxa" w:w="1080"/>
          </w:tcPr>
          <w:p>
            <w:r>
              <w:rPr>
                <w:rFonts w:ascii="Calibri" w:hAnsi="Calibri"/>
                <w:sz w:val="22"/>
              </w:rPr>
              <w:t>Flat</w:t>
            </w:r>
          </w:p>
        </w:tc>
        <w:tc>
          <w:tcPr>
            <w:tcW w:type="dxa" w:w="1080"/>
          </w:tcPr>
          <w:p>
            <w:r>
              <w:rPr>
                <w:rFonts w:ascii="Calibri" w:hAnsi="Calibri"/>
                <w:sz w:val="22"/>
              </w:rPr>
              <w:t>~8% total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Organic Growth — Q2 2026</w:t>
            </w:r>
          </w:p>
        </w:tc>
        <w:tc>
          <w:tcPr>
            <w:tcW w:type="dxa" w:w="1080"/>
          </w:tcPr>
          <w:p>
            <w:r>
              <w:rPr>
                <w:rFonts w:ascii="Calibri" w:hAnsi="Calibri"/>
                <w:sz w:val="22"/>
              </w:rPr>
              <w:t>~4.3%</w:t>
            </w:r>
          </w:p>
        </w:tc>
        <w:tc>
          <w:tcPr>
            <w:tcW w:type="dxa" w:w="1080"/>
          </w:tcPr>
          <w:p>
            <w:r>
              <w:rPr>
                <w:rFonts w:ascii="Calibri" w:hAnsi="Calibri"/>
                <w:sz w:val="22"/>
              </w:rPr>
              <w:t>~4.3%</w:t>
            </w:r>
          </w:p>
        </w:tc>
        <w:tc>
          <w:tcPr>
            <w:tcW w:type="dxa" w:w="1080"/>
          </w:tcPr>
          <w:p>
            <w:r>
              <w:rPr>
                <w:rFonts w:ascii="Calibri" w:hAnsi="Calibri"/>
                <w:sz w:val="22"/>
              </w:rPr>
              <w:t>Flat</w:t>
            </w:r>
          </w:p>
        </w:tc>
        <w:tc>
          <w:tcPr>
            <w:tcW w:type="dxa" w:w="1080"/>
          </w:tcPr>
          <w:p>
            <w:r>
              <w:rPr>
                <w:rFonts w:ascii="Calibri" w:hAnsi="Calibri"/>
                <w:sz w:val="22"/>
              </w:rPr>
              <w:t>5–6%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FY midpoint; Q2 comp tougher</w:t>
            </w:r>
          </w:p>
        </w:tc>
      </w:tr>
      <w:tr>
        <w:tc>
          <w:tcPr>
            <w:tcW w:type="dxa" w:w="1080"/>
          </w:tcPr>
          <w:p>
            <w:r>
              <w:rPr>
                <w:rFonts w:ascii="Calibri" w:hAnsi="Calibri"/>
                <w:sz w:val="22"/>
              </w:rPr>
              <w:t>Adj. DEPS — FY 2027</w:t>
            </w:r>
          </w:p>
        </w:tc>
        <w:tc>
          <w:tcPr>
            <w:tcW w:type="dxa" w:w="1080"/>
          </w:tcPr>
          <w:p>
            <w:r>
              <w:rPr>
                <w:rFonts w:ascii="Calibri" w:hAnsi="Calibri"/>
                <w:sz w:val="22"/>
              </w:rPr>
              <w:t>$23.83</w:t>
            </w:r>
          </w:p>
        </w:tc>
        <w:tc>
          <w:tcPr>
            <w:tcW w:type="dxa" w:w="1080"/>
          </w:tcPr>
          <w:p>
            <w:r>
              <w:rPr>
                <w:rFonts w:ascii="Calibri" w:hAnsi="Calibri"/>
                <w:sz w:val="22"/>
              </w:rPr>
              <w:t>$23.98</w:t>
            </w:r>
          </w:p>
        </w:tc>
        <w:tc>
          <w:tcPr>
            <w:tcW w:type="dxa" w:w="1080"/>
          </w:tcPr>
          <w:p>
            <w:r>
              <w:rPr>
                <w:rFonts w:ascii="Calibri" w:hAnsi="Calibri"/>
                <w:sz w:val="22"/>
              </w:rPr>
              <w:t>+0.6%</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estimate revision picture is remarkably stable — virtually no movement in DEPS or revenue consensus since the Q1 print. The slight drift lower in Q2 DEPS ($5.31 → $5.28) likely reflects the Street trimming for the tougher TEP comp and continued GovCon softness rather than any fundamental deterioration. FY 2027 estimates have nudged slightly higher (+0.6%), suggesting analysts are incrementally more constructive on the out-year compounding story.</w:t>
      </w:r>
    </w:p>
    <w:p>
      <w:r>
        <w:rPr>
          <w:rFonts w:ascii="Calibri" w:hAnsi="Calibri"/>
          <w:i/>
          <w:color w:val="525866"/>
          <w:sz w:val="22"/>
        </w:rPr>
        <w:t xml:space="preserve">Source: </w:t>
      </w:r>
      <w:r>
        <w:rPr>
          <w:rFonts w:ascii="Calibri" w:hAnsi="Calibri"/>
          <w:i/>
          <w:color w:val="525866"/>
          <w:sz w:val="22"/>
        </w:rPr>
        <w:t>Visible Alpha Consensus and Actuals Data (as-of April 30, 2026 and July 22, 2026); ROP Q1 2026 Earnings Call Transcript.</w:t>
      </w:r>
    </w:p>
    <w:p>
      <w:r>
        <w:br w:type="page"/>
      </w:r>
    </w:p>
    <w:p>
      <w:pPr>
        <w:pStyle w:val="Heading2"/>
      </w:pPr>
      <w:r>
        <w:rPr>
          <w:rFonts w:ascii="Calibri" w:hAnsi="Calibri"/>
          <w:b/>
          <w:color w:val="3B4259"/>
          <w:sz w:val="28"/>
        </w:rPr>
        <w:t>5. Stock Performance Since Last Earnings (Apr 23 — Jul 22, 2026)</w:t>
      </w:r>
    </w:p>
    <w:p>
      <w:r>
        <w:rPr>
          <w:rFonts w:ascii="Calibri" w:hAnsi="Calibri"/>
          <w:b/>
          <w:color w:val="525866"/>
          <w:sz w:val="22"/>
        </w:rPr>
        <w:t xml:space="preserve">Key Takeaway: </w:t>
      </w:r>
      <w:r>
        <w:rPr>
          <w:rFonts w:ascii="Calibri" w:hAnsi="Calibri"/>
          <w:color w:val="525866"/>
          <w:sz w:val="22"/>
        </w:rPr>
        <w:t>ROP has been a significant underperformer since Q1 earnings — down ~7.4% vs. IGV +6.5% and S&amp;P 500 +5.5% — driven by multiple compression rather than estimate cuts, as consensus has barely moved. The stock is essentially flat to its Q1 earnings-day close, suggesting the market is in a show-me mode ahead of Q2.</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Series</w:t>
            </w:r>
          </w:p>
        </w:tc>
        <w:tc>
          <w:tcPr>
            <w:tcW w:type="dxa" w:w="1440"/>
            <w:shd w:val="clear" w:color="auto" w:fill="3B4259"/>
          </w:tcPr>
          <w:p>
            <w:r>
              <w:rPr>
                <w:rFonts w:ascii="Calibri" w:hAnsi="Calibri"/>
                <w:b/>
                <w:color w:val="FFFFFF"/>
                <w:sz w:val="22"/>
              </w:rPr>
              <w:t>Apr 23, 2026 (Base)</w:t>
            </w:r>
          </w:p>
        </w:tc>
        <w:tc>
          <w:tcPr>
            <w:tcW w:type="dxa" w:w="1440"/>
            <w:shd w:val="clear" w:color="auto" w:fill="3B4259"/>
          </w:tcPr>
          <w:p>
            <w:r>
              <w:rPr>
                <w:rFonts w:ascii="Calibri" w:hAnsi="Calibri"/>
                <w:b/>
                <w:color w:val="FFFFFF"/>
                <w:sz w:val="22"/>
              </w:rPr>
              <w:t>Jul 22, 2026</w:t>
            </w:r>
          </w:p>
        </w:tc>
        <w:tc>
          <w:tcPr>
            <w:tcW w:type="dxa" w:w="1440"/>
            <w:shd w:val="clear" w:color="auto" w:fill="3B4259"/>
          </w:tcPr>
          <w:p>
            <w:r>
              <w:rPr>
                <w:rFonts w:ascii="Calibri" w:hAnsi="Calibri"/>
                <w:b/>
                <w:color w:val="FFFFFF"/>
                <w:sz w:val="22"/>
              </w:rPr>
              <w:t>Return Since Last Earnings</w:t>
            </w:r>
          </w:p>
        </w:tc>
        <w:tc>
          <w:tcPr>
            <w:tcW w:type="dxa" w:w="1440"/>
            <w:shd w:val="clear" w:color="auto" w:fill="3B4259"/>
          </w:tcPr>
          <w:p>
            <w:r>
              <w:rPr>
                <w:rFonts w:ascii="Calibri" w:hAnsi="Calibri"/>
                <w:b/>
                <w:color w:val="FFFFFF"/>
                <w:sz w:val="22"/>
              </w:rPr>
              <w:t>Peak (Indexed)</w:t>
            </w:r>
          </w:p>
        </w:tc>
        <w:tc>
          <w:tcPr>
            <w:tcW w:type="dxa" w:w="1440"/>
            <w:shd w:val="clear" w:color="auto" w:fill="3B4259"/>
          </w:tcPr>
          <w:p>
            <w:r>
              <w:rPr>
                <w:rFonts w:ascii="Calibri" w:hAnsi="Calibri"/>
                <w:b/>
                <w:color w:val="FFFFFF"/>
                <w:sz w:val="22"/>
              </w:rPr>
              <w:t>Trough (Indexed)</w:t>
            </w:r>
          </w:p>
        </w:tc>
      </w:tr>
      <w:tr>
        <w:tc>
          <w:tcPr>
            <w:tcW w:type="dxa" w:w="1440"/>
          </w:tcPr>
          <w:p>
            <w:r>
              <w:rPr>
                <w:rFonts w:ascii="Calibri" w:hAnsi="Calibri"/>
                <w:sz w:val="22"/>
              </w:rPr>
              <w:t>ROP</w:t>
            </w:r>
          </w:p>
        </w:tc>
        <w:tc>
          <w:tcPr>
            <w:tcW w:type="dxa" w:w="1440"/>
          </w:tcPr>
          <w:p>
            <w:r>
              <w:rPr>
                <w:rFonts w:ascii="Calibri" w:hAnsi="Calibri"/>
                <w:sz w:val="22"/>
              </w:rPr>
              <w:t>$363.76</w:t>
            </w:r>
          </w:p>
        </w:tc>
        <w:tc>
          <w:tcPr>
            <w:tcW w:type="dxa" w:w="1440"/>
          </w:tcPr>
          <w:p>
            <w:r>
              <w:rPr>
                <w:rFonts w:ascii="Calibri" w:hAnsi="Calibri"/>
                <w:sz w:val="22"/>
              </w:rPr>
              <w:t>$336.71</w:t>
            </w:r>
          </w:p>
        </w:tc>
        <w:tc>
          <w:tcPr>
            <w:tcW w:type="dxa" w:w="1440"/>
          </w:tcPr>
          <w:p>
            <w:r>
              <w:rPr>
                <w:rFonts w:ascii="Calibri" w:hAnsi="Calibri"/>
                <w:b/>
                <w:color w:val="E5484D"/>
                <w:sz w:val="22"/>
              </w:rPr>
              <w:t>−7.4%</w:t>
            </w:r>
          </w:p>
        </w:tc>
        <w:tc>
          <w:tcPr>
            <w:tcW w:type="dxa" w:w="1440"/>
          </w:tcPr>
          <w:p>
            <w:r>
              <w:rPr>
                <w:rFonts w:ascii="Calibri" w:hAnsi="Calibri"/>
                <w:sz w:val="22"/>
              </w:rPr>
              <w:t>~$364 (Jul 6)</w:t>
            </w:r>
          </w:p>
        </w:tc>
        <w:tc>
          <w:tcPr>
            <w:tcW w:type="dxa" w:w="1440"/>
          </w:tcPr>
          <w:p>
            <w:r>
              <w:rPr>
                <w:rFonts w:ascii="Calibri" w:hAnsi="Calibri"/>
                <w:sz w:val="22"/>
              </w:rPr>
              <w:t>~$316 (May 13)</w:t>
            </w:r>
          </w:p>
        </w:tc>
      </w:tr>
      <w:tr>
        <w:tc>
          <w:tcPr>
            <w:tcW w:type="dxa" w:w="1440"/>
          </w:tcPr>
          <w:p>
            <w:r>
              <w:rPr>
                <w:rFonts w:ascii="Calibri" w:hAnsi="Calibri"/>
                <w:sz w:val="22"/>
              </w:rPr>
              <w:t>IGV (Software ETF)</w:t>
            </w:r>
          </w:p>
        </w:tc>
        <w:tc>
          <w:tcPr>
            <w:tcW w:type="dxa" w:w="1440"/>
          </w:tcPr>
          <w:p>
            <w:r>
              <w:rPr>
                <w:rFonts w:ascii="Calibri" w:hAnsi="Calibri"/>
                <w:sz w:val="22"/>
              </w:rPr>
              <w:t>$83.57</w:t>
            </w:r>
          </w:p>
        </w:tc>
        <w:tc>
          <w:tcPr>
            <w:tcW w:type="dxa" w:w="1440"/>
          </w:tcPr>
          <w:p>
            <w:r>
              <w:rPr>
                <w:rFonts w:ascii="Calibri" w:hAnsi="Calibri"/>
                <w:sz w:val="22"/>
              </w:rPr>
              <w:t>$89.02</w:t>
            </w:r>
          </w:p>
        </w:tc>
        <w:tc>
          <w:tcPr>
            <w:tcW w:type="dxa" w:w="1440"/>
          </w:tcPr>
          <w:p>
            <w:r>
              <w:rPr>
                <w:rFonts w:ascii="Calibri" w:hAnsi="Calibri"/>
                <w:b/>
                <w:color w:val="30A46C"/>
                <w:sz w:val="22"/>
              </w:rPr>
              <w:t>+6.5%</w:t>
            </w:r>
          </w:p>
        </w:tc>
        <w:tc>
          <w:tcPr>
            <w:tcW w:type="dxa" w:w="1440"/>
          </w:tcPr>
          <w:p>
            <w:r>
              <w:rPr>
                <w:rFonts w:ascii="Calibri" w:hAnsi="Calibri"/>
                <w:sz w:val="22"/>
              </w:rPr>
              <w:t>~$107 (May 29)</w:t>
            </w:r>
          </w:p>
        </w:tc>
        <w:tc>
          <w:tcPr>
            <w:tcW w:type="dxa" w:w="1440"/>
          </w:tcPr>
          <w:p>
            <w:r>
              <w:rPr>
                <w:rFonts w:ascii="Calibri" w:hAnsi="Calibri"/>
                <w:sz w:val="22"/>
              </w:rPr>
              <w:t>~$84 (Apr 30)</w:t>
            </w:r>
          </w:p>
        </w:tc>
      </w:tr>
      <w:tr>
        <w:tc>
          <w:tcPr>
            <w:tcW w:type="dxa" w:w="1440"/>
          </w:tcPr>
          <w:p>
            <w:r>
              <w:rPr>
                <w:rFonts w:ascii="Calibri" w:hAnsi="Calibri"/>
                <w:sz w:val="22"/>
              </w:rPr>
              <w:t>S&amp;P 500 (SPY)</w:t>
            </w:r>
          </w:p>
        </w:tc>
        <w:tc>
          <w:tcPr>
            <w:tcW w:type="dxa" w:w="1440"/>
          </w:tcPr>
          <w:p>
            <w:r>
              <w:rPr>
                <w:rFonts w:ascii="Calibri" w:hAnsi="Calibri"/>
                <w:sz w:val="22"/>
              </w:rPr>
              <w:t>$708.45</w:t>
            </w:r>
          </w:p>
        </w:tc>
        <w:tc>
          <w:tcPr>
            <w:tcW w:type="dxa" w:w="1440"/>
          </w:tcPr>
          <w:p>
            <w:r>
              <w:rPr>
                <w:rFonts w:ascii="Calibri" w:hAnsi="Calibri"/>
                <w:sz w:val="22"/>
              </w:rPr>
              <w:t>$747.41</w:t>
            </w:r>
          </w:p>
        </w:tc>
        <w:tc>
          <w:tcPr>
            <w:tcW w:type="dxa" w:w="1440"/>
          </w:tcPr>
          <w:p>
            <w:r>
              <w:rPr>
                <w:rFonts w:ascii="Calibri" w:hAnsi="Calibri"/>
                <w:b/>
                <w:color w:val="30A46C"/>
                <w:sz w:val="22"/>
              </w:rPr>
              <w:t>+5.5%</w:t>
            </w:r>
          </w:p>
        </w:tc>
        <w:tc>
          <w:tcPr>
            <w:tcW w:type="dxa" w:w="1440"/>
          </w:tcPr>
          <w:p>
            <w:r>
              <w:rPr>
                <w:rFonts w:ascii="Calibri" w:hAnsi="Calibri"/>
                <w:sz w:val="22"/>
              </w:rPr>
              <w:t>~$757 (May 29)</w:t>
            </w:r>
          </w:p>
        </w:tc>
        <w:tc>
          <w:tcPr>
            <w:tcW w:type="dxa" w:w="1440"/>
          </w:tcPr>
          <w:p>
            <w:r>
              <w:rPr>
                <w:rFonts w:ascii="Calibri" w:hAnsi="Calibri"/>
                <w:sz w:val="22"/>
              </w:rPr>
              <w:t>~$708 (Apr 23)</w:t>
            </w:r>
          </w:p>
        </w:tc>
      </w:tr>
    </w:tbl>
    <w:p>
      <w:r>
        <w:rPr>
          <w:rFonts w:ascii="Calibri" w:hAnsi="Calibri"/>
          <w:b/>
          <w:color w:val="525866"/>
          <w:sz w:val="22"/>
        </w:rPr>
        <w:t xml:space="preserve">Performance Narrative: </w:t>
      </w:r>
      <w:r>
        <w:rPr>
          <w:rFonts w:ascii="Calibri" w:hAnsi="Calibri"/>
          <w:color w:val="525866"/>
          <w:sz w:val="22"/>
        </w:rPr>
        <w:t>ROP sold off sharply in mid-May (trough ~$316, −13% from earnings) as the broader market rallied on tariff relief and AI enthusiasm — a period where ROP's lower-growth, non-AI-pure-play profile was a headwind. The stock partially recovered in late June/early July on renewed M&amp;A speculation and buyback support, briefly touching $364 on July 6 before pulling back again to $337 by July 22. The ~14pp underperformance vs. IGV since earnings is almost entirely multiple compression — consensus estimates are flat — reflecting the market's skepticism about whether ROP's organic growth re-acceleration is durable. The stock enters Q2 earnings at essentially the same price as Q1 earnings day, creating a clean setup: a beat-and-raise could catalyze a meaningful re-rating, while a miss on organic growth would likely retest the May lows.</w:t>
      </w:r>
    </w:p>
    <w:p>
      <w:r>
        <w:rPr>
          <w:rFonts w:ascii="Calibri" w:hAnsi="Calibri"/>
          <w:i/>
          <w:color w:val="525866"/>
          <w:sz w:val="22"/>
        </w:rPr>
        <w:t xml:space="preserve">Source: </w:t>
      </w:r>
      <w:r>
        <w:rPr>
          <w:rFonts w:ascii="Calibri" w:hAnsi="Calibri"/>
          <w:i/>
          <w:color w:val="525866"/>
          <w:sz w:val="22"/>
        </w:rPr>
        <w:t>Stock Price Data (Yahoo Finance). ROP, IGV, SPY closing prices April 23 – July 22, 2026.</w:t>
      </w:r>
    </w:p>
    <w:p>
      <w:r>
        <w:br w:type="page"/>
      </w:r>
    </w:p>
    <w:p>
      <w:pPr>
        <w:pStyle w:val="Heading2"/>
      </w:pPr>
      <w:r>
        <w:rPr>
          <w:rFonts w:ascii="Calibri" w:hAnsi="Calibri"/>
          <w:b/>
          <w:color w:val="3B4259"/>
          <w:sz w:val="28"/>
        </w:rPr>
        <w:t>6. Material News &amp; Developments Since Q1 Earnings (Apr 23 — Jul 22, 2026)</w:t>
      </w:r>
    </w:p>
    <w:p>
      <w:r>
        <w:rPr>
          <w:rFonts w:ascii="Calibri" w:hAnsi="Calibri"/>
          <w:b/>
          <w:color w:val="525866"/>
          <w:sz w:val="22"/>
        </w:rPr>
        <w:t xml:space="preserve">Key Takeaway: </w:t>
      </w:r>
      <w:r>
        <w:rPr>
          <w:rFonts w:ascii="Calibri" w:hAnsi="Calibri"/>
          <w:color w:val="525866"/>
          <w:sz w:val="22"/>
        </w:rPr>
        <w:t>The most material development is the $3B additional buyback authorization (bringing remaining capacity to $3.8B), which provides a meaningful EPS tailwind and signals management conviction in the valuation dislocation. No M&amp;A has been announced, consistent with management's commentary that private seller processes have paused amid public market volatility.</w:t>
      </w:r>
    </w:p>
    <w:p>
      <w:pPr>
        <w:pStyle w:val="ListBullet"/>
        <w:ind w:left="360" w:hanging="360"/>
      </w:pPr>
      <w:r>
        <w:rPr>
          <w:rFonts w:ascii="Calibri" w:hAnsi="Calibri"/>
          <w:b/>
          <w:color w:val="525866"/>
          <w:sz w:val="22"/>
        </w:rPr>
        <w:t>Apr 23, 2026 — Q1 2026 Beat &amp; Guidance Raise:</w:t>
      </w:r>
      <w:r>
        <w:rPr>
          <w:rFonts w:ascii="Calibri" w:hAnsi="Calibri"/>
          <w:color w:val="525866"/>
          <w:sz w:val="22"/>
        </w:rPr>
        <w:t xml:space="preserve"> ROP reported Q1 adjusted DEPS of $5.16 (vs. $4.95–$5.00 guidance and ~$4.99 consensus), organic growth of 6%, and raised FY 2026 DEPS guidance by $0.50 at the midpoint to $21.80–$22.05. Board authorized an additional $3B in share repurchases, bringing remaining capacity to $3.8B. </w:t>
      </w:r>
    </w:p>
    <w:p>
      <w:pPr>
        <w:pStyle w:val="ListBullet"/>
        <w:ind w:left="360" w:hanging="360"/>
      </w:pPr>
      <w:r>
        <w:rPr>
          <w:rFonts w:ascii="Calibri" w:hAnsi="Calibri"/>
          <w:b/>
          <w:color w:val="525866"/>
          <w:sz w:val="22"/>
        </w:rPr>
        <w:t>Apr 23, 2026 — AI Accelerator Team Expansion:</w:t>
      </w:r>
      <w:r>
        <w:rPr>
          <w:rFonts w:ascii="Calibri" w:hAnsi="Calibri"/>
          <w:color w:val="525866"/>
          <w:sz w:val="22"/>
        </w:rPr>
        <w:t xml:space="preserve"> Management disclosed the AI accelerator team has expanded from one business partnership (Vertafore) to six active engagements across the portfolio. Vertafore unveiled its Velocity AI platform and suite of AI agents at its customer conference. </w:t>
      </w:r>
    </w:p>
    <w:p>
      <w:pPr>
        <w:pStyle w:val="ListBullet"/>
        <w:ind w:left="360" w:hanging="360"/>
      </w:pPr>
      <w:r>
        <w:rPr>
          <w:rFonts w:ascii="Calibri" w:hAnsi="Calibri"/>
          <w:b/>
          <w:color w:val="525866"/>
          <w:sz w:val="22"/>
        </w:rPr>
        <w:t>Apr 1, 2026 — New $3.5B Revolving Credit Facility:</w:t>
      </w:r>
      <w:r>
        <w:rPr>
          <w:rFonts w:ascii="Calibri" w:hAnsi="Calibri"/>
          <w:color w:val="525866"/>
          <w:sz w:val="22"/>
        </w:rPr>
        <w:t xml:space="preserve"> Roper entered a new five-year $3.5B revolving credit agreement on improved terms, enhancing its cost-of-capital advantage relative to PE-backed competitors and providing ample liquidity for M&amp;A and buybacks. </w:t>
      </w:r>
    </w:p>
    <w:p>
      <w:pPr>
        <w:pStyle w:val="ListBullet"/>
        <w:ind w:left="360" w:hanging="360"/>
      </w:pPr>
      <w:r>
        <w:rPr>
          <w:rFonts w:ascii="Calibri" w:hAnsi="Calibri"/>
          <w:b/>
          <w:color w:val="525866"/>
          <w:sz w:val="22"/>
        </w:rPr>
        <w:t>Q1 2026 (reported Apr 23) — Buyback Program Update:</w:t>
      </w:r>
      <w:r>
        <w:rPr>
          <w:rFonts w:ascii="Calibri" w:hAnsi="Calibri"/>
          <w:color w:val="525866"/>
          <w:sz w:val="22"/>
        </w:rPr>
        <w:t xml:space="preserve"> Cumulative repurchases since November 2025 reached 6.0 million shares for $2.2 billion (~6% of shares outstanding), bringing the share count to levels not seen since 2017. Year-to-date 2026 repurchases were 4.9M shares for $1.7B. </w:t>
      </w:r>
    </w:p>
    <w:p>
      <w:pPr>
        <w:pStyle w:val="ListBullet"/>
        <w:ind w:left="360" w:hanging="360"/>
      </w:pPr>
      <w:r>
        <w:rPr>
          <w:rFonts w:ascii="Calibri" w:hAnsi="Calibri"/>
          <w:b/>
          <w:color w:val="525866"/>
          <w:sz w:val="22"/>
        </w:rPr>
        <w:t>Q1 2026 — CentralReach AI Proof Point:</w:t>
      </w:r>
      <w:r>
        <w:rPr>
          <w:rFonts w:ascii="Calibri" w:hAnsi="Calibri"/>
          <w:color w:val="525866"/>
          <w:sz w:val="22"/>
        </w:rPr>
        <w:t xml:space="preserve"> AI and AI-influenced bookings reached 75% of new business in Q1, up from 0% two years ago. AI-generated session notes reduced clinician time from 5–10 minutes to ~30 seconds, saving ~8 hours/week. This is the most concrete AI monetization proof point in the portfolio. </w:t>
      </w:r>
    </w:p>
    <w:p>
      <w:pPr>
        <w:pStyle w:val="ListBullet"/>
        <w:ind w:left="360" w:hanging="360"/>
      </w:pPr>
      <w:r>
        <w:rPr>
          <w:rFonts w:ascii="Calibri" w:hAnsi="Calibri"/>
          <w:b/>
          <w:color w:val="525866"/>
          <w:sz w:val="22"/>
        </w:rPr>
        <w:t>Q1 2026 — DAT Freight Green Shoots:</w:t>
      </w:r>
      <w:r>
        <w:rPr>
          <w:rFonts w:ascii="Calibri" w:hAnsi="Calibri"/>
          <w:color w:val="525866"/>
          <w:sz w:val="22"/>
        </w:rPr>
        <w:t xml:space="preserve"> Spot rates up 20–30% YoY; carrier side of the DAT ecosystem grew in Q1 for the first time in several years. However, a sharp diesel spike late in the quarter compressed carrier margins. Management continues to assume no meaningful freight market recovery in guidance. </w:t>
      </w:r>
    </w:p>
    <w:p>
      <w:pPr>
        <w:pStyle w:val="ListBullet"/>
        <w:ind w:left="360" w:hanging="360"/>
      </w:pPr>
      <w:r>
        <w:rPr>
          <w:rFonts w:ascii="Calibri" w:hAnsi="Calibri"/>
          <w:b/>
          <w:color w:val="525866"/>
          <w:sz w:val="22"/>
        </w:rPr>
        <w:t>Q1 2026 — Neptune Input Cost Headwind:</w:t>
      </w:r>
      <w:r>
        <w:rPr>
          <w:rFonts w:ascii="Calibri" w:hAnsi="Calibri"/>
          <w:color w:val="525866"/>
          <w:sz w:val="22"/>
        </w:rPr>
        <w:t xml:space="preserve"> Bronze ingot inflation (driven by copper demand from data centers) is pressuring Neptune margins. The surcharge approach attempted in mid-2025 had a negative demand impact; management reverted to regular-way pricing, which will take a couple of quarters to work through backlog. Raw material pressure expected to continue in Q2, improving in H2. </w:t>
      </w:r>
    </w:p>
    <w:p>
      <w:pPr>
        <w:pStyle w:val="ListBullet"/>
        <w:ind w:left="360" w:hanging="360"/>
      </w:pPr>
      <w:r>
        <w:rPr>
          <w:rFonts w:ascii="Calibri" w:hAnsi="Calibri"/>
          <w:b/>
          <w:color w:val="525866"/>
          <w:sz w:val="22"/>
        </w:rPr>
        <w:t>Q1 2026 — Deltek GovCon Remains Soft:</w:t>
      </w:r>
      <w:r>
        <w:rPr>
          <w:rFonts w:ascii="Calibri" w:hAnsi="Calibri"/>
          <w:color w:val="525866"/>
          <w:sz w:val="22"/>
        </w:rPr>
        <w:t xml:space="preserve"> Recurring revenue grew mid-single-digit+ driven by private sector, but GovCon enterprise remains soft with decision-making delays on large perpetual deals. The ‘One Big Beautiful Bill’ is a longer-term positive but benefits reach Roper only after customers win awards and invest in systems — a multi-step lag. No GovCon inflection baked into guidance. </w:t>
      </w:r>
    </w:p>
    <w:p>
      <w:pPr>
        <w:pStyle w:val="ListBullet"/>
        <w:ind w:left="360" w:hanging="360"/>
      </w:pPr>
      <w:r>
        <w:rPr>
          <w:rFonts w:ascii="Calibri" w:hAnsi="Calibri"/>
          <w:b/>
          <w:color w:val="525866"/>
          <w:sz w:val="22"/>
        </w:rPr>
        <w:t>Jul 1, 2026 — Q2 Earnings Date Announced:</w:t>
      </w:r>
      <w:r>
        <w:rPr>
          <w:rFonts w:ascii="Calibri" w:hAnsi="Calibri"/>
          <w:color w:val="525866"/>
          <w:sz w:val="22"/>
        </w:rPr>
        <w:t xml:space="preserve"> Roper confirmed Q2 2026 results will be released before market open on July 23, 2026, with a conference call at 8:00 AM ET. </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via Form 4 filings in the period since Q1 earnings (April 23 – July 22, 2026). The absence of insider buying is not alarming given the company's aggressive corporate buyback program ($3.8B remaining authorization), which effectively substitutes for individual insider signaling. No unusual activity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sales identified in the post-Q1 window (Apr 23 – Jul 22, 2026)</w:t>
            </w:r>
          </w:p>
        </w:tc>
      </w:tr>
    </w:tbl>
    <w:p>
      <w:r>
        <w:rPr>
          <w:rFonts w:ascii="Calibri" w:hAnsi="Calibri"/>
          <w:i/>
          <w:color w:val="525866"/>
          <w:sz w:val="22"/>
        </w:rPr>
        <w:t xml:space="preserve">Source: </w:t>
      </w:r>
      <w:r>
        <w:rPr>
          <w:rFonts w:ascii="Calibri" w:hAnsi="Calibri"/>
          <w:i/>
          <w:color w:val="525866"/>
          <w:sz w:val="22"/>
        </w:rPr>
        <w:t>SEC Form 4 filings database query for ROP, April 23 – July 22, 2026. No open-market purchase (code P) or sale (code S) transactions returned.</w:t>
      </w:r>
    </w:p>
    <w:p>
      <w:r>
        <w:br w:type="page"/>
      </w:r>
    </w:p>
    <w:p>
      <w:pPr>
        <w:pStyle w:val="Heading2"/>
      </w:pPr>
      <w:r>
        <w:rPr>
          <w:rFonts w:ascii="Calibri" w:hAnsi="Calibri"/>
          <w:b/>
          <w:color w:val="3B4259"/>
          <w:sz w:val="28"/>
        </w:rPr>
        <w:t>8. Peer Commentary &amp; Read-Throughs</w:t>
      </w:r>
    </w:p>
    <w:p>
      <w:r>
        <w:rPr>
          <w:rFonts w:ascii="Calibri" w:hAnsi="Calibri"/>
          <w:b/>
          <w:color w:val="525866"/>
          <w:sz w:val="22"/>
        </w:rPr>
        <w:t xml:space="preserve">Key Takeaway: </w:t>
      </w:r>
      <w:r>
        <w:rPr>
          <w:rFonts w:ascii="Calibri" w:hAnsi="Calibri"/>
          <w:color w:val="525866"/>
          <w:sz w:val="22"/>
        </w:rPr>
        <w:t>Three peers reported in the last 60 days with commentary directly relevant to ROP’s Q2 2026 reporting period: VEEV (vertical software demand / AI monetization), SAIC (GovCon end-market), and JBHT (freight market / DAT read-through). The aggregate signal is mixed-to-constructive: vertical software demand is healthy, GovCon is stabilizing but not yet inflecting, and the freight market is tightening meaningfully — a potential positive for DAT that management has not yet baked into guidance.</w:t>
      </w:r>
    </w:p>
    <w:p>
      <w:r>
        <w:rPr>
          <w:rFonts w:ascii="Calibri" w:hAnsi="Calibri"/>
          <w:b/>
          <w:i/>
          <w:color w:val="525866"/>
          <w:sz w:val="22"/>
        </w:rPr>
        <w:t xml:space="preserve">Methodology Note: </w:t>
      </w:r>
      <w:r>
        <w:rPr>
          <w:rFonts w:ascii="Calibri" w:hAnsi="Calibri"/>
          <w:i/>
          <w:color w:val="525866"/>
          <w:sz w:val="22"/>
        </w:rPr>
        <w:t>Only commentary from the last 60 days (May 22 – July 22, 2026) that speaks to the current reporting period (calendar Q2 2026, April–June 2026) or forward outlook is included below. Prior-quarter result commentary from these peers has been excluded. Each read-through is labeled with its relevance to specific ROP segments and caveated where the linkage is indirect.</w:t>
      </w:r>
    </w:p>
    <w:p>
      <w:pPr>
        <w:pStyle w:val="Heading3"/>
      </w:pPr>
      <w:r>
        <w:rPr>
          <w:rFonts w:ascii="Calibri" w:hAnsi="Calibri"/>
          <w:b/>
          <w:color w:val="3B4259"/>
          <w:sz w:val="24"/>
        </w:rPr>
        <w:t>8a. Veeva Systems (VEEV) — FQ1 2027 Earnings Call (June 3, 2026)</w:t>
      </w:r>
    </w:p>
    <w:p>
      <w:r>
        <w:rPr>
          <w:rFonts w:ascii="Calibri" w:hAnsi="Calibri"/>
          <w:b/>
          <w:color w:val="525866"/>
          <w:sz w:val="22"/>
        </w:rPr>
        <w:t xml:space="preserve">ROP Relevance: </w:t>
      </w:r>
      <w:r>
        <w:rPr>
          <w:rFonts w:ascii="Calibri" w:hAnsi="Calibri"/>
          <w:color w:val="525866"/>
          <w:sz w:val="22"/>
        </w:rPr>
        <w:t>Vertical software demand signal; AI monetization framework read-through for ROP’s Application Software segment (Vertafore, CentralReach, ConstructConnect, iPipeline). VEEV’s fiscal Q1 2027 ended April 30, 2026, overlapping with the first month of ROP’s Q2 2026.</w:t>
      </w:r>
    </w:p>
    <w:p>
      <w:r>
        <w:rPr>
          <w:rFonts w:ascii="Calibri" w:hAnsi="Calibri"/>
          <w:b/>
          <w:i/>
          <w:color w:val="525866"/>
          <w:sz w:val="22"/>
        </w:rPr>
        <w:t xml:space="preserve">Caveat: </w:t>
      </w:r>
      <w:r>
        <w:rPr>
          <w:rFonts w:ascii="Calibri" w:hAnsi="Calibri"/>
          <w:i/>
          <w:color w:val="525866"/>
          <w:sz w:val="22"/>
        </w:rPr>
        <w:t>VEEV serves life sciences exclusively; ROP’s software businesses serve insurance, construction, legal, ABA therapy, and other verticals. The read-through is thematic (vertical software demand, AI adoption pace, monetization model) rather than direct end-market overlap.</w:t>
      </w:r>
    </w:p>
    <w:p>
      <w:pPr>
        <w:pStyle w:val="ListBullet"/>
        <w:ind w:left="360" w:hanging="360"/>
      </w:pPr>
      <w:r>
        <w:rPr>
          <w:rFonts w:ascii="Calibri" w:hAnsi="Calibri"/>
          <w:b/>
          <w:color w:val="525866"/>
          <w:sz w:val="22"/>
        </w:rPr>
        <w:t>Vertical software demand remains healthy and unchanged from prior guidance:</w:t>
      </w:r>
      <w:r>
        <w:rPr>
          <w:rFonts w:ascii="Calibri" w:hAnsi="Calibri"/>
          <w:color w:val="525866"/>
          <w:sz w:val="22"/>
        </w:rPr>
        <w:t xml:space="preserve"> CFO Brian Van Wagener stated “the macro is an environment that is unchanged from when we gave guidance a few months ago” and “the business is performing well and our customers are performing really well.” VEEV “continue[s] to see a strong and healthy end market.” </w:t>
      </w:r>
    </w:p>
    <w:p>
      <w:pPr>
        <w:pStyle w:val="ListBullet"/>
        <w:ind w:left="360" w:hanging="360"/>
      </w:pPr>
      <w:r>
        <w:rPr>
          <w:rFonts w:ascii="Calibri" w:hAnsi="Calibri"/>
          <w:b/>
          <w:color w:val="525866"/>
          <w:sz w:val="22"/>
        </w:rPr>
        <w:t>AI monetization is moving toward consumption/usage-based pricing:</w:t>
      </w:r>
      <w:r>
        <w:rPr>
          <w:rFonts w:ascii="Calibri" w:hAnsi="Calibri"/>
          <w:color w:val="525866"/>
          <w:sz w:val="22"/>
        </w:rPr>
        <w:t xml:space="preserve"> VEEV’s Falcon AI platform will be priced “by the document, most likely” and safety cases “by the case” — a consumption model. This is directionally consistent with ROP’s own commentary that AI monetization will be “some sort of a subscription with an overage based on utilization.” Both companies are converging on hybrid subscription-plus-consumption models. </w:t>
      </w:r>
    </w:p>
    <w:p>
      <w:pPr>
        <w:pStyle w:val="ListBullet"/>
        <w:ind w:left="360" w:hanging="360"/>
      </w:pPr>
      <w:r>
        <w:rPr>
          <w:rFonts w:ascii="Calibri" w:hAnsi="Calibri"/>
          <w:b/>
          <w:color w:val="525866"/>
          <w:sz w:val="22"/>
        </w:rPr>
        <w:t>AI is accretive, not cannibalistic:</w:t>
      </w:r>
      <w:r>
        <w:rPr>
          <w:rFonts w:ascii="Calibri" w:hAnsi="Calibri"/>
          <w:color w:val="525866"/>
          <w:sz w:val="22"/>
        </w:rPr>
        <w:t xml:space="preserve"> VEEV’s Falcon is “definitely all accretive because this is not a market we address today.” This supports ROP’s thesis that AI expands TAM rather than disrupting existing revenue streams. </w:t>
      </w:r>
    </w:p>
    <w:p>
      <w:pPr>
        <w:pStyle w:val="ListBullet"/>
        <w:ind w:left="360" w:hanging="360"/>
      </w:pPr>
      <w:r>
        <w:rPr>
          <w:rFonts w:ascii="Calibri" w:hAnsi="Calibri"/>
          <w:b/>
          <w:color w:val="525866"/>
          <w:sz w:val="22"/>
        </w:rPr>
        <w:t>AI revenue immaterial in the near term but scaling:</w:t>
      </w:r>
      <w:r>
        <w:rPr>
          <w:rFonts w:ascii="Calibri" w:hAnsi="Calibri"/>
          <w:color w:val="525866"/>
          <w:sz w:val="22"/>
        </w:rPr>
        <w:t xml:space="preserve"> VEEV’s “overall expectation had been for AI to be fairly immaterial outside of Ostro” for the current year. This is a mild caution for ROP bulls expecting near-term AI revenue contribution — even the most advanced vertical software companies are still in early monetization. </w:t>
      </w:r>
    </w:p>
    <w:p>
      <w:pPr>
        <w:pStyle w:val="ListBullet"/>
        <w:ind w:left="360" w:hanging="360"/>
      </w:pPr>
      <w:r>
        <w:rPr>
          <w:rFonts w:ascii="Calibri" w:hAnsi="Calibri"/>
          <w:b/>
          <w:color w:val="525866"/>
          <w:sz w:val="22"/>
        </w:rPr>
        <w:t>Internal AI productivity gains are real:</w:t>
      </w:r>
      <w:r>
        <w:rPr>
          <w:rFonts w:ascii="Calibri" w:hAnsi="Calibri"/>
          <w:color w:val="525866"/>
          <w:sz w:val="22"/>
        </w:rPr>
        <w:t xml:space="preserve"> VEEV uses Claude Code in product engineering, leading to “great efficiency” and expects to “hire a little less than we would have and accomplish more.” This mirrors ROP’s ConstructConnect commentary (4x feature velocity via Agentic coding) and supports the margin-neutral-to-positive AI investment thesis. </w:t>
      </w:r>
    </w:p>
    <w:p>
      <w:pPr>
        <w:pStyle w:val="Heading3"/>
      </w:pPr>
      <w:r>
        <w:rPr>
          <w:rFonts w:ascii="Calibri" w:hAnsi="Calibri"/>
          <w:b/>
          <w:color w:val="3B4259"/>
          <w:sz w:val="24"/>
        </w:rPr>
        <w:t>8b. SAIC — FQ1 2027 Earnings Call (June 1, 2026)</w:t>
      </w:r>
    </w:p>
    <w:p>
      <w:r>
        <w:rPr>
          <w:rFonts w:ascii="Calibri" w:hAnsi="Calibri"/>
          <w:b/>
          <w:color w:val="525866"/>
          <w:sz w:val="22"/>
        </w:rPr>
        <w:t xml:space="preserve">ROP Relevance: </w:t>
      </w:r>
      <w:r>
        <w:rPr>
          <w:rFonts w:ascii="Calibri" w:hAnsi="Calibri"/>
          <w:color w:val="525866"/>
          <w:sz w:val="22"/>
        </w:rPr>
        <w:t>Direct GovCon end-market read-through for Deltek, ROP’s largest Application Software business. SAIC’s fiscal Q1 2027 ended May 1, 2026, covering the first two months of ROP’s Q2 2026. Deltek sells ERP and project management software to government contractors — SAIC is a direct Deltek customer archetype.</w:t>
      </w:r>
    </w:p>
    <w:p>
      <w:r>
        <w:rPr>
          <w:rFonts w:ascii="Calibri" w:hAnsi="Calibri"/>
          <w:b/>
          <w:i/>
          <w:color w:val="525866"/>
          <w:sz w:val="22"/>
        </w:rPr>
        <w:t xml:space="preserve">Caveat: </w:t>
      </w:r>
      <w:r>
        <w:rPr>
          <w:rFonts w:ascii="Calibri" w:hAnsi="Calibri"/>
          <w:i/>
          <w:color w:val="525866"/>
          <w:sz w:val="22"/>
        </w:rPr>
        <w:t>SAIC is a government contractor (services), not a software company. The read-through is to Deltek’s end-market demand (GovCon enterprise software procurement decisions), not to ROP’s own revenue model. SAIC’s own revenue headwinds (RITS recompete) are company-specific and do not directly translate to Deltek demand.</w:t>
      </w:r>
    </w:p>
    <w:p>
      <w:pPr>
        <w:pStyle w:val="ListBullet"/>
        <w:ind w:left="360" w:hanging="360"/>
      </w:pPr>
      <w:r>
        <w:rPr>
          <w:rFonts w:ascii="Calibri" w:hAnsi="Calibri"/>
          <w:b/>
          <w:color w:val="525866"/>
          <w:sz w:val="22"/>
        </w:rPr>
        <w:t>GovCon procurement environment is stabilizing but not yet inflecting:</w:t>
      </w:r>
      <w:r>
        <w:rPr>
          <w:rFonts w:ascii="Calibri" w:hAnsi="Calibri"/>
          <w:color w:val="525866"/>
          <w:sz w:val="22"/>
        </w:rPr>
        <w:t xml:space="preserve"> SAIC reported “modest organic growth” in Q1 despite recompete headwinds, with on-contract growth of 5%. Management noted “RFPs and submissions, though previously slowed by environmental factors, are now improving” and BD teams are “on target to accelerate submissions.” This is consistent with ROP’s Q1 commentary that GovCon decision-making delays are persisting but not worsening. </w:t>
      </w:r>
    </w:p>
    <w:p>
      <w:pPr>
        <w:pStyle w:val="ListBullet"/>
        <w:ind w:left="360" w:hanging="360"/>
      </w:pPr>
      <w:r>
        <w:rPr>
          <w:rFonts w:ascii="Calibri" w:hAnsi="Calibri"/>
          <w:b/>
          <w:color w:val="525866"/>
          <w:sz w:val="22"/>
        </w:rPr>
        <w:t>Appropriations are beginning to flow, but unevenly:</w:t>
      </w:r>
      <w:r>
        <w:rPr>
          <w:rFonts w:ascii="Calibri" w:hAnsi="Calibri"/>
          <w:color w:val="525866"/>
          <w:sz w:val="22"/>
        </w:rPr>
        <w:t xml:space="preserve"> SAIC noted “appropriations are starting to flow from last year’s legislation, albeit unevenly” and expects “another large appropriation for FY’27.” This is a mild positive for Deltek’s GovCon pipeline — customers winning awards is a prerequisite for ERP investment decisions. </w:t>
      </w:r>
    </w:p>
    <w:p>
      <w:pPr>
        <w:pStyle w:val="ListBullet"/>
        <w:ind w:left="360" w:hanging="360"/>
      </w:pPr>
      <w:r>
        <w:rPr>
          <w:rFonts w:ascii="Calibri" w:hAnsi="Calibri"/>
          <w:b/>
          <w:color w:val="525866"/>
          <w:sz w:val="22"/>
        </w:rPr>
        <w:t>Large award decisions are taking longer but ‘starting to break through’:</w:t>
      </w:r>
      <w:r>
        <w:rPr>
          <w:rFonts w:ascii="Calibri" w:hAnsi="Calibri"/>
          <w:color w:val="525866"/>
          <w:sz w:val="22"/>
        </w:rPr>
        <w:t xml:space="preserve"> SAIC management stated larger awards are “taking longer to process due to multiple levels of government review” but are “starting to break through in the system.” This directly mirrors Deltek’s challenge with large enterprise perpetual deal delays. </w:t>
      </w:r>
    </w:p>
    <w:p>
      <w:pPr>
        <w:pStyle w:val="ListBullet"/>
        <w:ind w:left="360" w:hanging="360"/>
      </w:pPr>
      <w:r>
        <w:rPr>
          <w:rFonts w:ascii="Calibri" w:hAnsi="Calibri"/>
          <w:b/>
          <w:color w:val="525866"/>
          <w:sz w:val="22"/>
        </w:rPr>
        <w:t>Book-to-bill improving; pipeline at healthy levels:</w:t>
      </w:r>
      <w:r>
        <w:rPr>
          <w:rFonts w:ascii="Calibri" w:hAnsi="Calibri"/>
          <w:color w:val="525866"/>
          <w:sz w:val="22"/>
        </w:rPr>
        <w:t xml:space="preserve"> SAIC achieved a 1.1x quarterly book-to-bill and expects to “complete the year comfortably over 1.0.” A healthy GovCon bookings environment is a leading indicator for Deltek’s enterprise software pipeline, though with a lag. </w:t>
      </w:r>
    </w:p>
    <w:p>
      <w:pPr>
        <w:pStyle w:val="ListBullet"/>
        <w:ind w:left="360" w:hanging="360"/>
      </w:pPr>
      <w:r>
        <w:rPr>
          <w:rFonts w:ascii="Calibri" w:hAnsi="Calibri"/>
          <w:b/>
          <w:color w:val="525866"/>
          <w:sz w:val="22"/>
        </w:rPr>
        <w:t>Net read-through for Deltek:</w:t>
      </w:r>
      <w:r>
        <w:rPr>
          <w:rFonts w:ascii="Calibri" w:hAnsi="Calibri"/>
          <w:color w:val="525866"/>
          <w:sz w:val="22"/>
        </w:rPr>
        <w:t xml:space="preserve"> Stabilizing but not inflecting. Consistent with ROP’s own conservative posture of not baking in a GovCon recovery. The OBBB benefit is a 2027+ story. No negative surprise risk from this read-through, but no positive catalyst either. </w:t>
      </w:r>
    </w:p>
    <w:p>
      <w:pPr>
        <w:pStyle w:val="Heading3"/>
      </w:pPr>
      <w:r>
        <w:rPr>
          <w:rFonts w:ascii="Calibri" w:hAnsi="Calibri"/>
          <w:b/>
          <w:color w:val="3B4259"/>
          <w:sz w:val="24"/>
        </w:rPr>
        <w:t>8c. J.B. Hunt Transport (JBHT) — Q2 2026 Earnings Call (July 15, 2026)</w:t>
      </w:r>
    </w:p>
    <w:p>
      <w:r>
        <w:rPr>
          <w:rFonts w:ascii="Calibri" w:hAnsi="Calibri"/>
          <w:b/>
          <w:color w:val="525866"/>
          <w:sz w:val="22"/>
        </w:rPr>
        <w:t xml:space="preserve">ROP Relevance: </w:t>
      </w:r>
      <w:r>
        <w:rPr>
          <w:rFonts w:ascii="Calibri" w:hAnsi="Calibri"/>
          <w:color w:val="525866"/>
          <w:sz w:val="22"/>
        </w:rPr>
        <w:t>Most direct and timely read-through for DAT Freight &amp; Analytics (part of ROP’s Network Software segment). JBHT reported Q2 2026 results (April–June 2026) — the exact same period as ROP’s Q2 2026. DAT operates the largest freight marketplace in North America; JBHT is one of its largest users and a direct proxy for freight market conditions.</w:t>
      </w:r>
    </w:p>
    <w:p>
      <w:r>
        <w:rPr>
          <w:rFonts w:ascii="Calibri" w:hAnsi="Calibri"/>
          <w:b/>
          <w:i/>
          <w:color w:val="525866"/>
          <w:sz w:val="22"/>
        </w:rPr>
        <w:t xml:space="preserve">Caveat: </w:t>
      </w:r>
      <w:r>
        <w:rPr>
          <w:rFonts w:ascii="Calibri" w:hAnsi="Calibri"/>
          <w:i/>
          <w:color w:val="525866"/>
          <w:sz w:val="22"/>
        </w:rPr>
        <w:t>DAT’s revenue model is subscription/ARPU-based, not volume-based — a tightening freight market improves DAT’s carrier-side ecosystem growth and ARPU expansion but does not directly translate to a proportional revenue uplift. Management has explicitly not baked in a freight recovery in guidance.</w:t>
      </w:r>
    </w:p>
    <w:p>
      <w:pPr>
        <w:pStyle w:val="ListBullet"/>
        <w:ind w:left="360" w:hanging="360"/>
      </w:pPr>
      <w:r>
        <w:rPr>
          <w:rFonts w:ascii="Calibri" w:hAnsi="Calibri"/>
          <w:b/>
          <w:color w:val="525866"/>
          <w:sz w:val="22"/>
        </w:rPr>
        <w:t>Freight market tightened significantly in Q2 2026 — most positive read-through:</w:t>
      </w:r>
      <w:r>
        <w:rPr>
          <w:rFonts w:ascii="Calibri" w:hAnsi="Calibri"/>
          <w:color w:val="525866"/>
          <w:sz w:val="22"/>
        </w:rPr>
        <w:t xml:space="preserve"> JBHT CEO Shelly Simpson stated “capacity has tightened across the industry” with “a noticeable step change around the annual road check event in early May that has persisted.” Spot rates reached levels “not seen since 2021 and 2022.” This is the most bullish freight market commentary in years and is a direct positive for DAT’s carrier-side ecosystem. </w:t>
      </w:r>
    </w:p>
    <w:p>
      <w:pPr>
        <w:pStyle w:val="ListBullet"/>
        <w:ind w:left="360" w:hanging="360"/>
      </w:pPr>
      <w:r>
        <w:rPr>
          <w:rFonts w:ascii="Calibri" w:hAnsi="Calibri"/>
          <w:b/>
          <w:color w:val="525866"/>
          <w:sz w:val="22"/>
        </w:rPr>
        <w:t>Spot rates surging; tender rejections and spot pricing at multi-year highs:</w:t>
      </w:r>
      <w:r>
        <w:rPr>
          <w:rFonts w:ascii="Calibri" w:hAnsi="Calibri"/>
          <w:color w:val="525866"/>
          <w:sz w:val="22"/>
        </w:rPr>
        <w:t xml:space="preserve"> JBHT’s EVP of Sales noted “higher tender rejections, higher spot pricing, and lower driver employment, move towards levels not seen since 2021 and 2022.” DAT’s RateView product (which provides spot rate data) and its carrier-side marketplace are direct beneficiaries of elevated spot market activity. </w:t>
      </w:r>
    </w:p>
    <w:p>
      <w:pPr>
        <w:pStyle w:val="ListBullet"/>
        <w:ind w:left="360" w:hanging="360"/>
      </w:pPr>
      <w:r>
        <w:rPr>
          <w:rFonts w:ascii="Calibri" w:hAnsi="Calibri"/>
          <w:b/>
          <w:color w:val="525866"/>
          <w:sz w:val="22"/>
        </w:rPr>
        <w:t>Record bid/RFP activity — positive for DAT’s data and analytics products:</w:t>
      </w:r>
      <w:r>
        <w:rPr>
          <w:rFonts w:ascii="Calibri" w:hAnsi="Calibri"/>
          <w:color w:val="525866"/>
          <w:sz w:val="22"/>
        </w:rPr>
        <w:t xml:space="preserve"> JBHT’s Spencer Frazier noted bid frequency reached “a record in the quarter.” DAT’s data products (rate benchmarking, lane analytics) are used in bid processes — elevated bid activity is a usage driver. </w:t>
      </w:r>
    </w:p>
    <w:p>
      <w:pPr>
        <w:pStyle w:val="ListBullet"/>
        <w:ind w:left="360" w:hanging="360"/>
      </w:pPr>
      <w:r>
        <w:rPr>
          <w:rFonts w:ascii="Calibri" w:hAnsi="Calibri"/>
          <w:b/>
          <w:color w:val="525866"/>
          <w:sz w:val="22"/>
        </w:rPr>
        <w:t>Intermodal volumes up 10% YoY — first double-digit growth in over a decade:</w:t>
      </w:r>
      <w:r>
        <w:rPr>
          <w:rFonts w:ascii="Calibri" w:hAnsi="Calibri"/>
          <w:color w:val="525866"/>
          <w:sz w:val="22"/>
        </w:rPr>
        <w:t xml:space="preserve"> JBHT’s intermodal segment set a quarterly volume record with 578,000+ loads, up 10% YoY. Strong intermodal volumes indicate broad freight market health and support DAT’s carrier ecosystem growth. </w:t>
      </w:r>
    </w:p>
    <w:p>
      <w:pPr>
        <w:pStyle w:val="ListBullet"/>
        <w:ind w:left="360" w:hanging="360"/>
      </w:pPr>
      <w:r>
        <w:rPr>
          <w:rFonts w:ascii="Calibri" w:hAnsi="Calibri"/>
          <w:b/>
          <w:color w:val="525866"/>
          <w:sz w:val="22"/>
        </w:rPr>
        <w:t>Diesel spike late in Q2 compressed carrier margins:</w:t>
      </w:r>
      <w:r>
        <w:rPr>
          <w:rFonts w:ascii="Calibri" w:hAnsi="Calibri"/>
          <w:color w:val="525866"/>
          <w:sz w:val="22"/>
        </w:rPr>
        <w:t xml:space="preserve"> This is consistent with ROP’s Q1 commentary that “a sharp diesel spike compressed carrier margins late in the quarter.” The persistence of this headwind into Q2 may have partially offset the positive carrier ecosystem growth at DAT. </w:t>
      </w:r>
    </w:p>
    <w:p>
      <w:pPr>
        <w:pStyle w:val="ListBullet"/>
        <w:ind w:left="360" w:hanging="360"/>
      </w:pPr>
      <w:r>
        <w:rPr>
          <w:rFonts w:ascii="Calibri" w:hAnsi="Calibri"/>
          <w:b/>
          <w:color w:val="525866"/>
          <w:sz w:val="22"/>
        </w:rPr>
        <w:t>Net read-through for DAT:</w:t>
      </w:r>
      <w:r>
        <w:rPr>
          <w:rFonts w:ascii="Calibri" w:hAnsi="Calibri"/>
          <w:color w:val="525866"/>
          <w:sz w:val="22"/>
        </w:rPr>
        <w:t xml:space="preserve"> Meaningfully positive. The freight market tightening in Q2 2026 is the most favorable backdrop for DAT in several years. ROP’s guidance assumes no meaningful freight recovery — if DAT’s carrier ecosystem growth and ARPU expansion accelerated in Q2, this could be a source of upside surprise. Watch for management commentary on DAT spot rate trends and carrier-side ecosystem metrics on the Q2 call. </w:t>
      </w:r>
    </w:p>
    <w:p>
      <w:r>
        <w:rPr>
          <w:rFonts w:ascii="Calibri" w:hAnsi="Calibri"/>
          <w:i/>
          <w:color w:val="525866"/>
          <w:sz w:val="22"/>
        </w:rPr>
        <w:t xml:space="preserve">Sources: </w:t>
      </w:r>
      <w:r>
        <w:rPr>
          <w:rFonts w:ascii="Calibri" w:hAnsi="Calibri"/>
          <w:i/>
          <w:color w:val="525866"/>
          <w:sz w:val="22"/>
        </w:rPr>
        <w:t>VEEV FQ1 2027 Earnings Call Transcript (June 3, 2026); SAIC FQ1 2027 Earnings Call Transcript (June 1, 2026); JBHT Q2 2026 Earnings Call Transcript (July 15,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