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tx-earnings-predictions--2026-07-23"/>
    <w:p>
      <w:pPr>
        <w:pStyle w:val="Heading1"/>
      </w:pPr>
      <w:r>
        <w:t xml:space="preserve">RTX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~$1.74 vs. cons $1.66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~$23.08B vs. cons $22.87B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Raytheon adjusted operating profit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~$925M vs. cons $910M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~$6.95 vs. cons $6.94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sales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~$94.00B vs. cons $94.08B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~$8.50B vs. cons $8.60B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Day-5 residual ~+0.5% vs. day-1 residual ~+1.6%: the EPS beat and Raytheon execution support the initial move, but a FY2026 sales guide near ~</w:t>
            </w:r>
            <m:oMath>
              <m:r>
                <m:t>94.00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94.08B consensus and unchanged ~</w:t>
            </w:r>
            <m:oMath>
              <m:r>
                <m:t>8.50</m:t>
              </m:r>
              <m:r>
                <m:t>B</m:t>
              </m:r>
              <m:r>
                <m:t>f</m:t>
              </m:r>
              <m:r>
                <m:t>r</m:t>
              </m:r>
              <m:r>
                <m:t>e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l</m:t>
              </m:r>
              <m:r>
                <m:t>o</m:t>
              </m:r>
              <m:r>
                <m:t>w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8.60B consensus limit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2026-07-23T00:10:54Z</dcterms:created>
  <dcterms:modified xsi:type="dcterms:W3CDTF">2026-07-23T00:10:54Z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