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rtx-q2-2026-earnings-preview"/>
    <w:p>
      <w:pPr>
        <w:pStyle w:val="Heading1"/>
      </w:pPr>
      <w:r>
        <w:t xml:space="preserve">RTX Q2 2026 Earnings Preview</w:t>
      </w:r>
    </w:p>
    <w:p>
      <w:pPr>
        <w:pStyle w:val="FirstParagraph"/>
      </w:pPr>
      <w:r>
        <w:rPr>
          <w:b/>
          <w:bCs/>
        </w:rPr>
        <w:t xml:space="preserve">Report:</w:t>
      </w:r>
      <w:r>
        <w:t xml:space="preserve"> </w:t>
      </w:r>
      <w:r>
        <w:t xml:space="preserve">Thursday, July 23, before the market opens</w:t>
      </w:r>
      <w:r>
        <w:br/>
      </w:r>
      <w:r>
        <w:rPr>
          <w:b/>
          <w:bCs/>
        </w:rPr>
        <w:t xml:space="preserve">Conference call:</w:t>
      </w:r>
      <w:r>
        <w:t xml:space="preserve"> </w:t>
      </w:r>
      <w:r>
        <w:t xml:space="preserve">7:30 a.m. ET (</w:t>
      </w:r>
      <w:hyperlink r:id="rId9">
        <w:r>
          <w:rPr>
            <w:rStyle w:val="Hyperlink"/>
          </w:rPr>
          <w:t xml:space="preserve">rtx.com</w:t>
        </w:r>
      </w:hyperlink>
      <w:r>
        <w:t xml:space="preserve">)</w:t>
      </w:r>
    </w:p>
    <w:bookmarkStart w:id="11" w:name="the-setup"/>
    <w:p>
      <w:pPr>
        <w:pStyle w:val="Heading2"/>
      </w:pPr>
      <w:r>
        <w:t xml:space="preserve">The setup</w:t>
      </w:r>
    </w:p>
    <w:p>
      <w:pPr>
        <w:pStyle w:val="FirstParagraph"/>
      </w:pPr>
      <w:r>
        <w:t xml:space="preserve">RTX enters the report with unusually strong demand in both halves of its portfolio: commercial aerospace aftermarket activity remains elevated, while global demand for air defense, missiles and munitions continues to exceed available industrial capacity.</w:t>
      </w:r>
    </w:p>
    <w:p>
      <w:pPr>
        <w:pStyle w:val="BodyText"/>
      </w:pPr>
      <w:r>
        <w:t xml:space="preserve">The central question is therefore</w:t>
      </w:r>
      <w:r>
        <w:t xml:space="preserve"> </w:t>
      </w:r>
      <w:r>
        <w:rPr>
          <w:b/>
          <w:bCs/>
        </w:rPr>
        <w:t xml:space="preserve">not whether demand is strong—it is whether RTX can convert that demand into higher output, margins and cash flow without encountering supply-chain, GTF or program-execution setbacks.</w:t>
      </w:r>
    </w:p>
    <w:p>
      <w:pPr>
        <w:pStyle w:val="BodyText"/>
      </w:pPr>
      <w:r>
        <w:t xml:space="preserve">Expectations are also elevated. RTX already raised its 2026 sales and EPS guidance after a strong first quarter, and the stock trades near</w:t>
      </w:r>
      <w:r>
        <w:t xml:space="preserve"> </w:t>
      </w:r>
      <w:r>
        <w:rPr>
          <w:b/>
          <w:bCs/>
        </w:rPr>
        <w:t xml:space="preserve">$195</w:t>
      </w:r>
      <w:r>
        <w:t xml:space="preserve">, or roughly</w:t>
      </w:r>
      <w:r>
        <w:t xml:space="preserve"> </w:t>
      </w:r>
      <w:r>
        <w:rPr>
          <w:b/>
          <w:bCs/>
        </w:rPr>
        <w:t xml:space="preserve">28.7 times</w:t>
      </w:r>
      <w:r>
        <w:t xml:space="preserve"> </w:t>
      </w:r>
      <w:r>
        <w:t xml:space="preserve">the midpoint of current-year adjusted EPS guidance. A modest headline beat may not be enough unless management also provides reassuring updates on Raytheon production, GTF fleet health and the full-year outlook. (</w:t>
      </w:r>
      <w:hyperlink r:id="rId10">
        <w:r>
          <w:rPr>
            <w:rStyle w:val="Hyperlink"/>
          </w:rPr>
          <w:t xml:space="preserve">rtx.com</w:t>
        </w:r>
      </w:hyperlink>
      <w:r>
        <w:t xml:space="preserve">)</w:t>
      </w:r>
    </w:p>
    <w:bookmarkEnd w:id="11"/>
    <w:bookmarkStart w:id="13" w:name="headline-expectations"/>
    <w:p>
      <w:pPr>
        <w:pStyle w:val="Heading2"/>
      </w:pPr>
      <w:r>
        <w:t xml:space="preserve">Headline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$22.87B</w:t>
            </w:r>
          </w:p>
        </w:tc>
        <w:tc>
          <w:tcPr/>
          <w:p>
            <w:pPr>
              <w:pStyle w:val="Compact"/>
              <w:jc w:val="right"/>
            </w:pPr>
            <w:r>
              <w:t xml:space="preserve">$21.58B</w:t>
            </w:r>
          </w:p>
        </w:tc>
        <w:tc>
          <w:tcPr/>
          <w:p>
            <w:pPr>
              <w:pStyle w:val="Compact"/>
              <w:jc w:val="right"/>
            </w:pPr>
            <w:r>
              <w:t xml:space="preserve">~6%</w:t>
            </w:r>
          </w:p>
        </w:tc>
      </w:tr>
      <w:tr>
        <w:tc>
          <w:tcPr/>
          <w:p>
            <w:pPr>
              <w:pStyle w:val="Compact"/>
            </w:pPr>
            <w:r>
              <w:t xml:space="preserve">Adjusted EPS</w:t>
            </w:r>
          </w:p>
        </w:tc>
        <w:tc>
          <w:tcPr/>
          <w:p>
            <w:pPr>
              <w:pStyle w:val="Compact"/>
              <w:jc w:val="right"/>
            </w:pPr>
            <w:r>
              <w:rPr>
                <w:b/>
                <w:bCs/>
              </w:rPr>
              <w:t xml:space="preserve">$1.66</w:t>
            </w:r>
          </w:p>
        </w:tc>
        <w:tc>
          <w:tcPr/>
          <w:p>
            <w:pPr>
              <w:pStyle w:val="Compact"/>
              <w:jc w:val="right"/>
            </w:pPr>
            <w:r>
              <w:t xml:space="preserve">$1.56</w:t>
            </w:r>
          </w:p>
        </w:tc>
        <w:tc>
          <w:tcPr/>
          <w:p>
            <w:pPr>
              <w:pStyle w:val="Compact"/>
              <w:jc w:val="right"/>
            </w:pPr>
            <w:r>
              <w:t xml:space="preserve">~6%</w:t>
            </w:r>
          </w:p>
        </w:tc>
      </w:tr>
    </w:tbl>
    <w:p>
      <w:pPr>
        <w:pStyle w:val="BodyText"/>
      </w:pPr>
      <w:r>
        <w:t xml:space="preserve">Consensus figures are approximately $22.87 billion of revenue and $1.66 of adjusted EPS. Last year’s quarter included $21.6 billion of sales, $1.56 of adjusted EPS and slightly negative free cash flow, with cash generation affected by the Pratt &amp; Whitney work stoppage. (</w:t>
      </w:r>
      <w:hyperlink r:id="rId12">
        <w:r>
          <w:rPr>
            <w:rStyle w:val="Hyperlink"/>
          </w:rPr>
          <w:t xml:space="preserve">benzinga.com</w:t>
        </w:r>
      </w:hyperlink>
      <w:r>
        <w:t xml:space="preserve">)</w:t>
      </w:r>
    </w:p>
    <w:p>
      <w:pPr>
        <w:pStyle w:val="BodyText"/>
      </w:pPr>
      <w:r>
        <w:t xml:space="preserve">RTX’s existing full-year outlook is:</w:t>
      </w:r>
    </w:p>
    <w:p>
      <w:pPr>
        <w:pStyle w:val="Compact"/>
        <w:numPr>
          <w:ilvl w:val="0"/>
          <w:numId w:val="1001"/>
        </w:numPr>
      </w:pPr>
      <w:r>
        <w:rPr>
          <w:b/>
          <w:bCs/>
        </w:rPr>
        <w:t xml:space="preserve">Adjusted sales:</w:t>
      </w:r>
      <w:r>
        <w:t xml:space="preserve"> </w:t>
      </w:r>
      <m:oMath>
        <m:r>
          <m:t>92.5</m:t>
        </m:r>
        <m:r>
          <m:t>B</m:t>
        </m:r>
        <m:r>
          <m:rPr>
            <m:sty m:val="p"/>
          </m:rPr>
          <m:t>–</m:t>
        </m:r>
      </m:oMath>
      <w:r>
        <w:t xml:space="preserve">93.5B</w:t>
      </w:r>
    </w:p>
    <w:p>
      <w:pPr>
        <w:pStyle w:val="Compact"/>
        <w:numPr>
          <w:ilvl w:val="0"/>
          <w:numId w:val="1001"/>
        </w:numPr>
      </w:pPr>
      <w:r>
        <w:rPr>
          <w:b/>
          <w:bCs/>
        </w:rPr>
        <w:t xml:space="preserve">Organic growth:</w:t>
      </w:r>
      <w:r>
        <w:t xml:space="preserve"> </w:t>
      </w:r>
      <w:r>
        <w:t xml:space="preserve">5%–6%</w:t>
      </w:r>
    </w:p>
    <w:p>
      <w:pPr>
        <w:pStyle w:val="Compact"/>
        <w:numPr>
          <w:ilvl w:val="0"/>
          <w:numId w:val="1001"/>
        </w:numPr>
      </w:pPr>
      <w:r>
        <w:rPr>
          <w:b/>
          <w:bCs/>
        </w:rPr>
        <w:t xml:space="preserve">Adjusted EPS:</w:t>
      </w:r>
      <w:r>
        <w:t xml:space="preserve"> </w:t>
      </w:r>
      <m:oMath>
        <m:r>
          <m:t>6.70</m:t>
        </m:r>
        <m:r>
          <m:rPr>
            <m:sty m:val="p"/>
          </m:rPr>
          <m:t>–</m:t>
        </m:r>
      </m:oMath>
      <w:r>
        <w:t xml:space="preserve">6.90</w:t>
      </w:r>
    </w:p>
    <w:p>
      <w:pPr>
        <w:pStyle w:val="Compact"/>
        <w:numPr>
          <w:ilvl w:val="0"/>
          <w:numId w:val="1001"/>
        </w:numPr>
      </w:pPr>
      <w:r>
        <w:rPr>
          <w:b/>
          <w:bCs/>
        </w:rPr>
        <w:t xml:space="preserve">Free cash flow:</w:t>
      </w:r>
      <w:r>
        <w:t xml:space="preserve"> </w:t>
      </w:r>
      <m:oMath>
        <m:r>
          <m:t>8.25</m:t>
        </m:r>
        <m:r>
          <m:t>B</m:t>
        </m:r>
        <m:r>
          <m:rPr>
            <m:sty m:val="p"/>
          </m:rPr>
          <m:t>–</m:t>
        </m:r>
      </m:oMath>
      <w:r>
        <w:t xml:space="preserve">8.75B</w:t>
      </w:r>
    </w:p>
    <w:p>
      <w:pPr>
        <w:pStyle w:val="FirstParagraph"/>
      </w:pPr>
      <w:r>
        <w:t xml:space="preserve">The company raised sales and EPS guidance in April but left free-cash-flow guidance unchanged. (</w:t>
      </w:r>
      <w:hyperlink r:id="rId10">
        <w:r>
          <w:rPr>
            <w:rStyle w:val="Hyperlink"/>
          </w:rPr>
          <w:t xml:space="preserve">rtx.com</w:t>
        </w:r>
      </w:hyperlink>
      <w:r>
        <w:t xml:space="preserve">)</w:t>
      </w:r>
    </w:p>
    <w:p>
      <w:r>
        <w:pict>
          <v:rect style="width:0;height:1.5pt" o:hralign="center" o:hrstd="t" o:hr="t"/>
        </w:pict>
      </w:r>
    </w:p>
    <w:bookmarkEnd w:id="13"/>
    <w:bookmarkStart w:id="18" w:name="X7c6e4ec3d63de6853b2b10c314b33832d68d09d"/>
    <w:p>
      <w:pPr>
        <w:pStyle w:val="Heading2"/>
      </w:pPr>
      <w:r>
        <w:t xml:space="preserve">1. Raytheon is the most important source of upside</w:t>
      </w:r>
    </w:p>
    <w:p>
      <w:pPr>
        <w:pStyle w:val="FirstParagraph"/>
      </w:pPr>
      <w:r>
        <w:t xml:space="preserve">Raytheon was the standout business in Q1:</w:t>
      </w:r>
    </w:p>
    <w:p>
      <w:pPr>
        <w:pStyle w:val="Compact"/>
        <w:numPr>
          <w:ilvl w:val="0"/>
          <w:numId w:val="1002"/>
        </w:numPr>
      </w:pPr>
      <w:r>
        <w:t xml:space="preserve">Sales increased 10% year over year.</w:t>
      </w:r>
    </w:p>
    <w:p>
      <w:pPr>
        <w:pStyle w:val="Compact"/>
        <w:numPr>
          <w:ilvl w:val="0"/>
          <w:numId w:val="1002"/>
        </w:numPr>
      </w:pPr>
      <w:r>
        <w:t xml:space="preserve">Operating profit increased 24%.</w:t>
      </w:r>
    </w:p>
    <w:p>
      <w:pPr>
        <w:pStyle w:val="Compact"/>
        <w:numPr>
          <w:ilvl w:val="0"/>
          <w:numId w:val="1002"/>
        </w:numPr>
      </w:pPr>
      <w:r>
        <w:t xml:space="preserve">Segment margin reached 12.1%, versus 10.7% a year earlier.</w:t>
      </w:r>
    </w:p>
    <w:p>
      <w:pPr>
        <w:pStyle w:val="Compact"/>
        <w:numPr>
          <w:ilvl w:val="0"/>
          <w:numId w:val="1002"/>
        </w:numPr>
      </w:pPr>
      <w:r>
        <w:t xml:space="preserve">Growth was driven principally by Patriot and Standard Missile production.</w:t>
      </w:r>
    </w:p>
    <w:p>
      <w:pPr>
        <w:pStyle w:val="Compact"/>
        <w:numPr>
          <w:ilvl w:val="0"/>
          <w:numId w:val="1002"/>
        </w:numPr>
      </w:pPr>
      <w:r>
        <w:t xml:space="preserve">RTX booked approximately $6.6 billion of Raytheon defense orders during the quarter. (</w:t>
      </w:r>
      <w:hyperlink r:id="rId14">
        <w:r>
          <w:rPr>
            <w:rStyle w:val="Hyperlink"/>
          </w:rPr>
          <w:t xml:space="preserve">sec.gov</w:t>
        </w:r>
      </w:hyperlink>
      <w:r>
        <w:t xml:space="preserve">)</w:t>
      </w:r>
    </w:p>
    <w:p>
      <w:pPr>
        <w:pStyle w:val="FirstParagraph"/>
      </w:pPr>
      <w:r>
        <w:t xml:space="preserve">The demand environment has only become more supportive. Air and missile defense, counter-drone systems, AMRAAM, Patriot, Tomahawk and the Standard Missile family are all aligned with current U.S. and allied priorities. RTX is investing heavily in capacity: among other targets, it plans to lift annual AMRAAM production above 1,900 and Tomahawk production to 1,000. (</w:t>
      </w:r>
      <w:hyperlink r:id="rId15">
        <w:r>
          <w:rPr>
            <w:rStyle w:val="Hyperlink"/>
          </w:rPr>
          <w:t xml:space="preserve">rtx.com</w:t>
        </w:r>
      </w:hyperlink>
      <w:r>
        <w:t xml:space="preserve">)</w:t>
      </w:r>
    </w:p>
    <w:bookmarkStart w:id="17" w:name="what-investors-should-watch"/>
    <w:p>
      <w:pPr>
        <w:pStyle w:val="Heading3"/>
      </w:pPr>
      <w:r>
        <w:t xml:space="preserve">What investors should watch</w:t>
      </w:r>
    </w:p>
    <w:p>
      <w:pPr>
        <w:pStyle w:val="Compact"/>
        <w:numPr>
          <w:ilvl w:val="0"/>
          <w:numId w:val="1003"/>
        </w:numPr>
      </w:pPr>
      <w:r>
        <w:rPr>
          <w:b/>
          <w:bCs/>
        </w:rPr>
        <w:t xml:space="preserve">Production growth:</w:t>
      </w:r>
      <w:r>
        <w:t xml:space="preserve"> </w:t>
      </w:r>
      <w:r>
        <w:t xml:space="preserve">Management reported total munitions output up more than 40% in Q1. Q2 commentary should indicate whether that rate is sustainable. (</w:t>
      </w:r>
      <w:hyperlink r:id="rId16">
        <w:r>
          <w:rPr>
            <w:rStyle w:val="Hyperlink"/>
          </w:rPr>
          <w:t xml:space="preserve">investors.rtx.com</w:t>
        </w:r>
      </w:hyperlink>
      <w:r>
        <w:t xml:space="preserve">)</w:t>
      </w:r>
    </w:p>
    <w:p>
      <w:pPr>
        <w:pStyle w:val="Compact"/>
        <w:numPr>
          <w:ilvl w:val="0"/>
          <w:numId w:val="1003"/>
        </w:numPr>
      </w:pPr>
      <w:r>
        <w:rPr>
          <w:b/>
          <w:bCs/>
        </w:rPr>
        <w:t xml:space="preserve">Supply-chain receipts:</w:t>
      </w:r>
      <w:r>
        <w:t xml:space="preserve"> </w:t>
      </w:r>
      <w:r>
        <w:t xml:space="preserve">Rocket motors, microelectronics and critical minerals remain potential constraints.</w:t>
      </w:r>
    </w:p>
    <w:p>
      <w:pPr>
        <w:pStyle w:val="Compact"/>
        <w:numPr>
          <w:ilvl w:val="0"/>
          <w:numId w:val="1003"/>
        </w:numPr>
      </w:pPr>
      <w:r>
        <w:rPr>
          <w:b/>
          <w:bCs/>
        </w:rPr>
        <w:t xml:space="preserve">Raytheon margin:</w:t>
      </w:r>
      <w:r>
        <w:t xml:space="preserve"> </w:t>
      </w:r>
      <w:r>
        <w:t xml:space="preserve">Holding around or above 12% would suggest that volume, mix and productivity are offsetting ramp costs.</w:t>
      </w:r>
    </w:p>
    <w:p>
      <w:pPr>
        <w:pStyle w:val="Compact"/>
        <w:numPr>
          <w:ilvl w:val="0"/>
          <w:numId w:val="1003"/>
        </w:numPr>
      </w:pPr>
      <w:r>
        <w:rPr>
          <w:b/>
          <w:bCs/>
        </w:rPr>
        <w:t xml:space="preserve">Framework agreements:</w:t>
      </w:r>
      <w:r>
        <w:t xml:space="preserve"> </w:t>
      </w:r>
      <w:r>
        <w:t xml:space="preserve">Investors will want timelines for converting long-term munitions arrangements into finalized contracts, funded backlog and revenue.</w:t>
      </w:r>
    </w:p>
    <w:p>
      <w:pPr>
        <w:pStyle w:val="Compact"/>
        <w:numPr>
          <w:ilvl w:val="0"/>
          <w:numId w:val="1003"/>
        </w:numPr>
      </w:pPr>
      <w:r>
        <w:rPr>
          <w:b/>
          <w:bCs/>
        </w:rPr>
        <w:t xml:space="preserve">Capacity funding:</w:t>
      </w:r>
      <w:r>
        <w:t xml:space="preserve"> </w:t>
      </w:r>
      <w:r>
        <w:t xml:space="preserve">The economics should remain attractive despite the capital required to expand factories and support suppliers.</w:t>
      </w:r>
    </w:p>
    <w:p>
      <w:pPr>
        <w:pStyle w:val="FirstParagraph"/>
      </w:pPr>
      <w:r>
        <w:rPr>
          <w:b/>
          <w:bCs/>
        </w:rPr>
        <w:t xml:space="preserve">Key risk:</w:t>
      </w:r>
      <w:r>
        <w:t xml:space="preserve"> </w:t>
      </w:r>
      <w:r>
        <w:t xml:space="preserve">Demand can grow faster than the supply base. A weaker bookings quarter would not necessarily be concerning because defense awards are lumpy; disappointing output or unfavorable contract-estimate adjustments would matter much more.</w:t>
      </w:r>
    </w:p>
    <w:p>
      <w:r>
        <w:pict>
          <v:rect style="width:0;height:1.5pt" o:hralign="center" o:hrstd="t" o:hr="t"/>
        </w:pict>
      </w:r>
    </w:p>
    <w:bookmarkEnd w:id="17"/>
    <w:bookmarkEnd w:id="18"/>
    <w:bookmarkStart w:id="22" w:name="X82ee8e1b9220e89118c498dd0404d919a4569f1"/>
    <w:p>
      <w:pPr>
        <w:pStyle w:val="Heading2"/>
      </w:pPr>
      <w:r>
        <w:t xml:space="preserve">2. Pratt &amp; Whitney: GTF operational progress matters more than orders</w:t>
      </w:r>
    </w:p>
    <w:p>
      <w:pPr>
        <w:pStyle w:val="FirstParagraph"/>
      </w:pPr>
      <w:r>
        <w:t xml:space="preserve">Pratt began the year strongly, with Q1 sales up 11%, operating profit up 22% and segment margin of 8.7%. Commercial aftermarket growth was the principal driver, while commercial OE volume declined as RTX prioritized scarce material between new-engine production and the MRO network. (</w:t>
      </w:r>
      <w:hyperlink r:id="rId14">
        <w:r>
          <w:rPr>
            <w:rStyle w:val="Hyperlink"/>
          </w:rPr>
          <w:t xml:space="preserve">sec.gov</w:t>
        </w:r>
      </w:hyperlink>
      <w:r>
        <w:t xml:space="preserve">)</w:t>
      </w:r>
    </w:p>
    <w:p>
      <w:pPr>
        <w:pStyle w:val="BodyText"/>
      </w:pPr>
      <w:r>
        <w:t xml:space="preserve">Management said PW1100 MRO output increased 23% year over year in Q1. That throughput is the key mechanism for reducing grounded aircraft and limiting customer compensation associated with the powder-metal issue. (</w:t>
      </w:r>
      <w:hyperlink r:id="rId16">
        <w:r>
          <w:rPr>
            <w:rStyle w:val="Hyperlink"/>
          </w:rPr>
          <w:t xml:space="preserve">investors.rtx.com</w:t>
        </w:r>
      </w:hyperlink>
      <w:r>
        <w:t xml:space="preserve">)</w:t>
      </w:r>
    </w:p>
    <w:p>
      <w:pPr>
        <w:pStyle w:val="BodyText"/>
      </w:pPr>
      <w:r>
        <w:t xml:space="preserve">Recent orders confirm that the GTF franchise retains commercial momentum. Pratt has announced more than</w:t>
      </w:r>
      <w:r>
        <w:t xml:space="preserve"> </w:t>
      </w:r>
      <w:r>
        <w:rPr>
          <w:b/>
          <w:bCs/>
        </w:rPr>
        <w:t xml:space="preserve">800 GTF orders and commitments in 2026</w:t>
      </w:r>
      <w:r>
        <w:t xml:space="preserve">, including British Airways’ selection for 33 firm aircraft and 30 options with a 12-year services agreement. Those awards support the long-term installed-base and aftermarket thesis, but they do little for near-term earnings if MRO and parts production cannot keep pace. (</w:t>
      </w:r>
      <w:hyperlink r:id="rId19">
        <w:r>
          <w:rPr>
            <w:rStyle w:val="Hyperlink"/>
          </w:rPr>
          <w:t xml:space="preserve">rtx.com</w:t>
        </w:r>
      </w:hyperlink>
      <w:r>
        <w:t xml:space="preserve">)</w:t>
      </w:r>
    </w:p>
    <w:bookmarkStart w:id="21" w:name="the-critical-disclosures"/>
    <w:p>
      <w:pPr>
        <w:pStyle w:val="Heading3"/>
      </w:pPr>
      <w:r>
        <w:t xml:space="preserve">The critical disclosures</w:t>
      </w:r>
    </w:p>
    <w:p>
      <w:pPr>
        <w:pStyle w:val="Compact"/>
        <w:numPr>
          <w:ilvl w:val="0"/>
          <w:numId w:val="1004"/>
        </w:numPr>
      </w:pPr>
      <w:r>
        <w:rPr>
          <w:b/>
          <w:bCs/>
        </w:rPr>
        <w:t xml:space="preserve">Aircraft-on-ground trend:</w:t>
      </w:r>
      <w:r>
        <w:t xml:space="preserve"> </w:t>
      </w:r>
      <w:r>
        <w:t xml:space="preserve">Investors need confirmation that PW1100 AOGs continued to decline in Q2.</w:t>
      </w:r>
    </w:p>
    <w:p>
      <w:pPr>
        <w:pStyle w:val="Compact"/>
        <w:numPr>
          <w:ilvl w:val="0"/>
          <w:numId w:val="1004"/>
        </w:numPr>
      </w:pPr>
      <w:r>
        <w:rPr>
          <w:b/>
          <w:bCs/>
        </w:rPr>
        <w:t xml:space="preserve">MRO output and turnaround times:</w:t>
      </w:r>
      <w:r>
        <w:t xml:space="preserve"> </w:t>
      </w:r>
      <w:r>
        <w:t xml:space="preserve">Another strong increase would be the clearest positive operational indicator.</w:t>
      </w:r>
    </w:p>
    <w:p>
      <w:pPr>
        <w:pStyle w:val="Compact"/>
        <w:numPr>
          <w:ilvl w:val="0"/>
          <w:numId w:val="1004"/>
        </w:numPr>
      </w:pPr>
      <w:r>
        <w:rPr>
          <w:b/>
          <w:bCs/>
        </w:rPr>
        <w:t xml:space="preserve">GTF deliveries:</w:t>
      </w:r>
      <w:r>
        <w:t xml:space="preserve"> </w:t>
      </w:r>
      <w:r>
        <w:t xml:space="preserve">RTX still expects mid- to high-single-digit large commercial engine delivery growth for 2026.</w:t>
      </w:r>
    </w:p>
    <w:p>
      <w:pPr>
        <w:pStyle w:val="Compact"/>
        <w:numPr>
          <w:ilvl w:val="0"/>
          <w:numId w:val="1004"/>
        </w:numPr>
      </w:pPr>
      <w:r>
        <w:rPr>
          <w:b/>
          <w:bCs/>
        </w:rPr>
        <w:t xml:space="preserve">Negative OE margins:</w:t>
      </w:r>
      <w:r>
        <w:t xml:space="preserve"> </w:t>
      </w:r>
      <w:r>
        <w:t xml:space="preserve">Higher engine deliveries can pressure near-term profit because new GTF engines remain loss-making.</w:t>
      </w:r>
    </w:p>
    <w:p>
      <w:pPr>
        <w:pStyle w:val="Compact"/>
        <w:numPr>
          <w:ilvl w:val="0"/>
          <w:numId w:val="1004"/>
        </w:numPr>
      </w:pPr>
      <w:r>
        <w:rPr>
          <w:b/>
          <w:bCs/>
        </w:rPr>
        <w:t xml:space="preserve">GTF Advantage and Hot Section Plus:</w:t>
      </w:r>
      <w:r>
        <w:t xml:space="preserve"> </w:t>
      </w:r>
      <w:r>
        <w:t xml:space="preserve">GTF Advantage is expected to enter service this year, while the retrofit package is expected to become available during 2026 maintenance visits. The package provides most of Advantage’s expected durability improvement. (</w:t>
      </w:r>
      <w:hyperlink r:id="rId20">
        <w:r>
          <w:rPr>
            <w:rStyle w:val="Hyperlink"/>
          </w:rPr>
          <w:t xml:space="preserve">rtx.com</w:t>
        </w:r>
      </w:hyperlink>
      <w:r>
        <w:t xml:space="preserve">)</w:t>
      </w:r>
    </w:p>
    <w:p>
      <w:pPr>
        <w:pStyle w:val="Compact"/>
        <w:numPr>
          <w:ilvl w:val="0"/>
          <w:numId w:val="1004"/>
        </w:numPr>
      </w:pPr>
      <w:r>
        <w:rPr>
          <w:b/>
          <w:bCs/>
        </w:rPr>
        <w:t xml:space="preserve">Powder-metal cash cost:</w:t>
      </w:r>
      <w:r>
        <w:t xml:space="preserve"> </w:t>
      </w:r>
      <w:r>
        <w:t xml:space="preserve">RTX currently estimates approximately</w:t>
      </w:r>
      <w:r>
        <w:t xml:space="preserve"> </w:t>
      </w:r>
      <w:r>
        <w:rPr>
          <w:b/>
          <w:bCs/>
        </w:rPr>
        <w:t xml:space="preserve">$700 million</w:t>
      </w:r>
      <w:r>
        <w:t xml:space="preserve"> </w:t>
      </w:r>
      <w:r>
        <w:t xml:space="preserve">of related 2026 cash outflow. Any increase would be a material negative for the cash-flow story. (</w:t>
      </w:r>
      <w:hyperlink r:id="rId14">
        <w:r>
          <w:rPr>
            <w:rStyle w:val="Hyperlink"/>
          </w:rPr>
          <w:t xml:space="preserve">sec.gov</w:t>
        </w:r>
      </w:hyperlink>
      <w:r>
        <w:t xml:space="preserve">)</w:t>
      </w:r>
    </w:p>
    <w:p>
      <w:pPr>
        <w:pStyle w:val="FirstParagraph"/>
      </w:pPr>
      <w:r>
        <w:t xml:space="preserve">A good quarter is not simply one in which Pratt reports higher aftermarket sales. The higher-quality outcome would combine aftermarket growth, falling AOGs, faster MRO output and no deterioration in the powder-metal financial outlook.</w:t>
      </w:r>
    </w:p>
    <w:p>
      <w:r>
        <w:pict>
          <v:rect style="width:0;height:1.5pt" o:hralign="center" o:hrstd="t" o:hr="t"/>
        </w:pict>
      </w:r>
    </w:p>
    <w:bookmarkEnd w:id="21"/>
    <w:bookmarkEnd w:id="22"/>
    <w:bookmarkStart w:id="23" w:name="Xcfc744e0bc7455e48293695a352bddeb5787f6f"/>
    <w:p>
      <w:pPr>
        <w:pStyle w:val="Heading2"/>
      </w:pPr>
      <w:r>
        <w:t xml:space="preserve">3. Collins needs to defend its margin performance</w:t>
      </w:r>
    </w:p>
    <w:p>
      <w:pPr>
        <w:pStyle w:val="FirstParagraph"/>
      </w:pPr>
      <w:r>
        <w:t xml:space="preserve">Collins produced strong Q1 results despite commercial OE mix and tariff pressure. Organic sales growth came from all three channels—commercial OE, commercial aftermarket and defense—while lower R&amp;D spending also helped profitability.</w:t>
      </w:r>
    </w:p>
    <w:p>
      <w:pPr>
        <w:pStyle w:val="BodyText"/>
      </w:pPr>
      <w:r>
        <w:t xml:space="preserve">The segment faces several competing forces in Q2:</w:t>
      </w:r>
    </w:p>
    <w:p>
      <w:pPr>
        <w:pStyle w:val="BodyText"/>
      </w:pPr>
      <w:r>
        <w:rPr>
          <w:b/>
          <w:bCs/>
        </w:rPr>
        <w:t xml:space="preserve">Positive</w:t>
      </w:r>
    </w:p>
    <w:p>
      <w:pPr>
        <w:pStyle w:val="Compact"/>
        <w:numPr>
          <w:ilvl w:val="0"/>
          <w:numId w:val="1005"/>
        </w:numPr>
      </w:pPr>
      <w:r>
        <w:t xml:space="preserve">Rising narrowbody and widebody production</w:t>
      </w:r>
    </w:p>
    <w:p>
      <w:pPr>
        <w:pStyle w:val="Compact"/>
        <w:numPr>
          <w:ilvl w:val="0"/>
          <w:numId w:val="1005"/>
        </w:numPr>
      </w:pPr>
      <w:r>
        <w:t xml:space="preserve">Increasing out-of-warranty flight hours</w:t>
      </w:r>
    </w:p>
    <w:p>
      <w:pPr>
        <w:pStyle w:val="Compact"/>
        <w:numPr>
          <w:ilvl w:val="0"/>
          <w:numId w:val="1005"/>
        </w:numPr>
      </w:pPr>
      <w:r>
        <w:t xml:space="preserve">Strong parts-and-repair demand</w:t>
      </w:r>
    </w:p>
    <w:p>
      <w:pPr>
        <w:pStyle w:val="Compact"/>
        <w:numPr>
          <w:ilvl w:val="0"/>
          <w:numId w:val="1005"/>
        </w:numPr>
      </w:pPr>
      <w:r>
        <w:t xml:space="preserve">Defense growth across multiple platforms</w:t>
      </w:r>
    </w:p>
    <w:p>
      <w:pPr>
        <w:pStyle w:val="Compact"/>
        <w:numPr>
          <w:ilvl w:val="0"/>
          <w:numId w:val="1005"/>
        </w:numPr>
      </w:pPr>
      <w:r>
        <w:t xml:space="preserve">Operating leverage and productivity initiatives</w:t>
      </w:r>
    </w:p>
    <w:p>
      <w:pPr>
        <w:pStyle w:val="FirstParagraph"/>
      </w:pPr>
      <w:r>
        <w:rPr>
          <w:b/>
          <w:bCs/>
        </w:rPr>
        <w:t xml:space="preserve">Potential headwinds</w:t>
      </w:r>
    </w:p>
    <w:p>
      <w:pPr>
        <w:pStyle w:val="Compact"/>
        <w:numPr>
          <w:ilvl w:val="0"/>
          <w:numId w:val="1006"/>
        </w:numPr>
      </w:pPr>
      <w:r>
        <w:t xml:space="preserve">Lower-margin commercial OE mix</w:t>
      </w:r>
    </w:p>
    <w:p>
      <w:pPr>
        <w:pStyle w:val="Compact"/>
        <w:numPr>
          <w:ilvl w:val="0"/>
          <w:numId w:val="1006"/>
        </w:numPr>
      </w:pPr>
      <w:r>
        <w:t xml:space="preserve">Tariffs and supply-chain costs</w:t>
      </w:r>
    </w:p>
    <w:p>
      <w:pPr>
        <w:pStyle w:val="Compact"/>
        <w:numPr>
          <w:ilvl w:val="0"/>
          <w:numId w:val="1006"/>
        </w:numPr>
      </w:pPr>
      <w:r>
        <w:t xml:space="preserve">Airline caution around discretionary modifications and upgrades</w:t>
      </w:r>
    </w:p>
    <w:p>
      <w:pPr>
        <w:pStyle w:val="Compact"/>
        <w:numPr>
          <w:ilvl w:val="0"/>
          <w:numId w:val="1006"/>
        </w:numPr>
      </w:pPr>
      <w:r>
        <w:t xml:space="preserve">Difficult margin comparisons after a strong Q1</w:t>
      </w:r>
    </w:p>
    <w:p>
      <w:pPr>
        <w:pStyle w:val="FirstParagraph"/>
      </w:pPr>
      <w:r>
        <w:t xml:space="preserve">Commercial aftermarket is the key swing factor. Parts and repair should be relatively resilient, while provisioning and modifications are more exposed if airlines reduce inventories or defer discretionary work.</w:t>
      </w:r>
    </w:p>
    <w:p>
      <w:pPr>
        <w:pStyle w:val="BodyText"/>
      </w:pPr>
      <w:r>
        <w:rPr>
          <w:b/>
          <w:bCs/>
        </w:rPr>
        <w:t xml:space="preserve">What good looks like:</w:t>
      </w:r>
      <w:r>
        <w:t xml:space="preserve"> </w:t>
      </w:r>
      <w:r>
        <w:t xml:space="preserve">organic growth across all channels and a margin at least near last year’s Q2 adjusted level of 16.4%. A margin materially below that level, absent a clear mix explanation, would raise questions about whether Q1 profitability was unusually favorable.</w:t>
      </w:r>
    </w:p>
    <w:p>
      <w:r>
        <w:pict>
          <v:rect style="width:0;height:1.5pt" o:hralign="center" o:hrstd="t" o:hr="t"/>
        </w:pict>
      </w:r>
    </w:p>
    <w:bookmarkEnd w:id="23"/>
    <w:bookmarkStart w:id="24" w:name="X50f0d19c670ea6d5c99aa6e62d1b6a592205ec7"/>
    <w:p>
      <w:pPr>
        <w:pStyle w:val="Heading2"/>
      </w:pPr>
      <w:r>
        <w:t xml:space="preserve">4. Guidance is likely to drive the stock reaction</w:t>
      </w:r>
    </w:p>
    <w:p>
      <w:pPr>
        <w:pStyle w:val="FirstParagraph"/>
      </w:pPr>
      <w:r>
        <w:t xml:space="preserve">RTX’s first-quarter performance already prompted a $500 million sales-guidance increase and a $0.10 EPS increase. Consequently, the market is likely looking for at least one of the following:</w:t>
      </w:r>
    </w:p>
    <w:p>
      <w:pPr>
        <w:pStyle w:val="Compact"/>
        <w:numPr>
          <w:ilvl w:val="0"/>
          <w:numId w:val="1007"/>
        </w:numPr>
      </w:pPr>
      <w:r>
        <w:t xml:space="preserve">Another increase to sales or EPS guidance</w:t>
      </w:r>
    </w:p>
    <w:p>
      <w:pPr>
        <w:pStyle w:val="Compact"/>
        <w:numPr>
          <w:ilvl w:val="0"/>
          <w:numId w:val="1007"/>
        </w:numPr>
      </w:pPr>
      <w:r>
        <w:t xml:space="preserve">A move toward the upper half of the existing ranges</w:t>
      </w:r>
    </w:p>
    <w:p>
      <w:pPr>
        <w:pStyle w:val="Compact"/>
        <w:numPr>
          <w:ilvl w:val="0"/>
          <w:numId w:val="1007"/>
        </w:numPr>
      </w:pPr>
      <w:r>
        <w:t xml:space="preserve">Stronger segment profit expectations at Raytheon</w:t>
      </w:r>
    </w:p>
    <w:p>
      <w:pPr>
        <w:pStyle w:val="Compact"/>
        <w:numPr>
          <w:ilvl w:val="0"/>
          <w:numId w:val="1007"/>
        </w:numPr>
      </w:pPr>
      <w:r>
        <w:t xml:space="preserve">Greater confidence in GTF fleet recovery</w:t>
      </w:r>
    </w:p>
    <w:p>
      <w:pPr>
        <w:pStyle w:val="Compact"/>
        <w:numPr>
          <w:ilvl w:val="0"/>
          <w:numId w:val="1007"/>
        </w:numPr>
      </w:pPr>
      <w:r>
        <w:t xml:space="preserve">Improved visibility on free cash flow</w:t>
      </w:r>
    </w:p>
    <w:p>
      <w:pPr>
        <w:pStyle w:val="FirstParagraph"/>
      </w:pPr>
      <w:r>
        <w:t xml:space="preserve">A guidance raise is not guaranteed. Management may retain flexibility because of geopolitical volatility, commercial air-travel uncertainty, supply constraints and the timing of defense awards. But with “beat-and-raise” expectations elevated,</w:t>
      </w:r>
      <w:r>
        <w:t xml:space="preserve"> </w:t>
      </w:r>
      <w:r>
        <w:rPr>
          <w:b/>
          <w:bCs/>
        </w:rPr>
        <w:t xml:space="preserve">a small EPS beat paired with unchanged guidance could receive a muted or negative reaction.</w:t>
      </w:r>
    </w:p>
    <w:p>
      <w:pPr>
        <w:pStyle w:val="BodyText"/>
      </w:pPr>
      <w:r>
        <w:t xml:space="preserve">The highest-quality guidance outcome would be an EPS increase driven by segment operating profit—not merely lower interest, taxes or tariff-related recoveries.</w:t>
      </w:r>
    </w:p>
    <w:p>
      <w:r>
        <w:pict>
          <v:rect style="width:0;height:1.5pt" o:hralign="center" o:hrstd="t" o:hr="t"/>
        </w:pict>
      </w:r>
    </w:p>
    <w:bookmarkEnd w:id="24"/>
    <w:bookmarkStart w:id="25" w:name="X039592d53edfafc0e750a132ceb2342a3c710d8"/>
    <w:p>
      <w:pPr>
        <w:pStyle w:val="Heading2"/>
      </w:pPr>
      <w:r>
        <w:t xml:space="preserve">5. Cash flow should not be overlooked</w:t>
      </w:r>
    </w:p>
    <w:p>
      <w:pPr>
        <w:pStyle w:val="FirstParagraph"/>
      </w:pPr>
      <w:r>
        <w:t xml:space="preserve">Q1 free cash flow was $1.3 billion, leaving RTX well positioned against its</w:t>
      </w:r>
      <w:r>
        <w:t xml:space="preserve"> </w:t>
      </w:r>
      <m:oMath>
        <m:r>
          <m:t>8.25</m:t>
        </m:r>
        <m:r>
          <m:t>B</m:t>
        </m:r>
        <m:r>
          <m:rPr>
            <m:sty m:val="p"/>
          </m:rPr>
          <m:t>–</m:t>
        </m:r>
      </m:oMath>
      <w:r>
        <w:t xml:space="preserve">8.75B full-year objective. The Q2 comparison is also easy because last year’s quarter had a $72 million free-cash-flow outflow following the Pratt strike. (</w:t>
      </w:r>
      <w:hyperlink r:id="rId10">
        <w:r>
          <w:rPr>
            <w:rStyle w:val="Hyperlink"/>
          </w:rPr>
          <w:t xml:space="preserve">rtx.com</w:t>
        </w:r>
      </w:hyperlink>
      <w:r>
        <w:t xml:space="preserve">)</w:t>
      </w:r>
    </w:p>
    <w:p>
      <w:pPr>
        <w:pStyle w:val="BodyText"/>
      </w:pPr>
      <w:r>
        <w:t xml:space="preserve">Still, RTX’s cash requirements are substantial:</w:t>
      </w:r>
    </w:p>
    <w:p>
      <w:pPr>
        <w:pStyle w:val="Compact"/>
        <w:numPr>
          <w:ilvl w:val="0"/>
          <w:numId w:val="1008"/>
        </w:numPr>
      </w:pPr>
      <w:r>
        <w:t xml:space="preserve">Powder-metal customer compensation</w:t>
      </w:r>
    </w:p>
    <w:p>
      <w:pPr>
        <w:pStyle w:val="Compact"/>
        <w:numPr>
          <w:ilvl w:val="0"/>
          <w:numId w:val="1008"/>
        </w:numPr>
      </w:pPr>
      <w:r>
        <w:t xml:space="preserve">Inventory needed for commercial and defense production ramps</w:t>
      </w:r>
    </w:p>
    <w:p>
      <w:pPr>
        <w:pStyle w:val="Compact"/>
        <w:numPr>
          <w:ilvl w:val="0"/>
          <w:numId w:val="1008"/>
        </w:numPr>
      </w:pPr>
      <w:r>
        <w:t xml:space="preserve">Factory and supplier-capacity investments</w:t>
      </w:r>
    </w:p>
    <w:p>
      <w:pPr>
        <w:pStyle w:val="Compact"/>
        <w:numPr>
          <w:ilvl w:val="0"/>
          <w:numId w:val="1008"/>
        </w:numPr>
      </w:pPr>
      <w:r>
        <w:t xml:space="preserve">GTF MRO expansion</w:t>
      </w:r>
    </w:p>
    <w:p>
      <w:pPr>
        <w:pStyle w:val="Compact"/>
        <w:numPr>
          <w:ilvl w:val="0"/>
          <w:numId w:val="1008"/>
        </w:numPr>
      </w:pPr>
      <w:r>
        <w:t xml:space="preserve">Working capital associated with defense growth</w:t>
      </w:r>
    </w:p>
    <w:p>
      <w:pPr>
        <w:pStyle w:val="FirstParagraph"/>
      </w:pPr>
      <w:r>
        <w:t xml:space="preserve">Investors should focus less on the standalone quarterly number than on whether management</w:t>
      </w:r>
      <w:r>
        <w:t xml:space="preserve"> </w:t>
      </w:r>
      <w:r>
        <w:rPr>
          <w:b/>
          <w:bCs/>
        </w:rPr>
        <w:t xml:space="preserve">reaffirms the full-year cash range without pulling forward receivables, increasing factoring or relying on one-time items.</w:t>
      </w:r>
    </w:p>
    <w:p>
      <w:r>
        <w:pict>
          <v:rect style="width:0;height:1.5pt" o:hralign="center" o:hrstd="t" o:hr="t"/>
        </w:pict>
      </w:r>
    </w:p>
    <w:bookmarkEnd w:id="25"/>
    <w:bookmarkStart w:id="26" w:name="X30e8e0a29cc2f167c48461cc79648997b51a18b"/>
    <w:p>
      <w:pPr>
        <w:pStyle w:val="Heading2"/>
      </w:pPr>
      <w:r>
        <w:t xml:space="preserve">6. Tariffs could create noise</w:t>
      </w:r>
    </w:p>
    <w:p>
      <w:pPr>
        <w:pStyle w:val="FirstParagraph"/>
      </w:pPr>
      <w:r>
        <w:t xml:space="preserve">RTX disclosed that it had paid approximately</w:t>
      </w:r>
      <w:r>
        <w:t xml:space="preserve"> </w:t>
      </w:r>
      <w:r>
        <w:rPr>
          <w:b/>
          <w:bCs/>
        </w:rPr>
        <w:t xml:space="preserve">$500 million</w:t>
      </w:r>
      <w:r>
        <w:t xml:space="preserve"> </w:t>
      </w:r>
      <w:r>
        <w:t xml:space="preserve">of IEEPA tariffs and had not recognized a recovery as of March 31 because the refund process remained uncertain. Management had also assumed ongoing tariff mitigation in its operating outlook. (</w:t>
      </w:r>
      <w:hyperlink r:id="rId14">
        <w:r>
          <w:rPr>
            <w:rStyle w:val="Hyperlink"/>
          </w:rPr>
          <w:t xml:space="preserve">sec.gov</w:t>
        </w:r>
      </w:hyperlink>
      <w:r>
        <w:t xml:space="preserve">)</w:t>
      </w:r>
    </w:p>
    <w:p>
      <w:pPr>
        <w:pStyle w:val="BodyText"/>
      </w:pPr>
      <w:r>
        <w:t xml:space="preserve">A refund or favorable accounting treatment could eventually provide upside, but investors should separate that from underlying segment performance. Conversely, new tariff regimes, supply-chain mapping requirements or restrictions involving China and other foreign suppliers could create fresh costs.</w:t>
      </w:r>
    </w:p>
    <w:p>
      <w:pPr>
        <w:pStyle w:val="BodyText"/>
      </w:pPr>
      <w:r>
        <w:t xml:space="preserve">The cleaner report would show earnings strength before any tariff refund benefit.</w:t>
      </w:r>
    </w:p>
    <w:p>
      <w:r>
        <w:pict>
          <v:rect style="width:0;height:1.5pt" o:hralign="center" o:hrstd="t" o:hr="t"/>
        </w:pict>
      </w:r>
    </w:p>
    <w:bookmarkEnd w:id="26"/>
    <w:bookmarkStart w:id="30" w:name="my-q2-scorecard"/>
    <w:p>
      <w:pPr>
        <w:pStyle w:val="Heading2"/>
      </w:pPr>
      <w:r>
        <w:t xml:space="preserve">My Q2 scorecard</w:t>
      </w:r>
    </w:p>
    <w:p>
      <w:pPr>
        <w:pStyle w:val="FirstParagraph"/>
      </w:pPr>
      <w:r>
        <w:t xml:space="preserve">These are analytical thresholds rather than formal consensus estimates:</w:t>
      </w:r>
    </w:p>
    <w:bookmarkStart w:id="27" w:name="bullish-outcome"/>
    <w:p>
      <w:pPr>
        <w:pStyle w:val="Heading3"/>
      </w:pPr>
      <w:r>
        <w:t xml:space="preserve">Bullish outcome</w:t>
      </w:r>
    </w:p>
    <w:p>
      <w:pPr>
        <w:pStyle w:val="Compact"/>
        <w:numPr>
          <w:ilvl w:val="0"/>
          <w:numId w:val="1009"/>
        </w:numPr>
      </w:pPr>
      <w:r>
        <w:t xml:space="preserve">Revenue above roughly</w:t>
      </w:r>
      <w:r>
        <w:t xml:space="preserve"> </w:t>
      </w:r>
      <w:r>
        <w:rPr>
          <w:b/>
          <w:bCs/>
        </w:rPr>
        <w:t xml:space="preserve">$23.0B</w:t>
      </w:r>
    </w:p>
    <w:p>
      <w:pPr>
        <w:pStyle w:val="Compact"/>
        <w:numPr>
          <w:ilvl w:val="0"/>
          <w:numId w:val="1009"/>
        </w:numPr>
      </w:pPr>
      <w:r>
        <w:t xml:space="preserve">Adjusted EPS of</w:t>
      </w:r>
      <w:r>
        <w:t xml:space="preserve"> </w:t>
      </w:r>
      <w:r>
        <w:rPr>
          <w:b/>
          <w:bCs/>
        </w:rPr>
        <w:t xml:space="preserve">$1.70 or better</w:t>
      </w:r>
    </w:p>
    <w:p>
      <w:pPr>
        <w:pStyle w:val="Compact"/>
        <w:numPr>
          <w:ilvl w:val="0"/>
          <w:numId w:val="1009"/>
        </w:numPr>
      </w:pPr>
      <w:r>
        <w:t xml:space="preserve">Raytheon margin around or above 12%</w:t>
      </w:r>
    </w:p>
    <w:p>
      <w:pPr>
        <w:pStyle w:val="Compact"/>
        <w:numPr>
          <w:ilvl w:val="0"/>
          <w:numId w:val="1009"/>
        </w:numPr>
      </w:pPr>
      <w:r>
        <w:t xml:space="preserve">Continued double-digit commercial aftermarket growth</w:t>
      </w:r>
    </w:p>
    <w:p>
      <w:pPr>
        <w:pStyle w:val="Compact"/>
        <w:numPr>
          <w:ilvl w:val="0"/>
          <w:numId w:val="1009"/>
        </w:numPr>
      </w:pPr>
      <w:r>
        <w:t xml:space="preserve">Clear sequential decline in GTF AOGs</w:t>
      </w:r>
    </w:p>
    <w:p>
      <w:pPr>
        <w:pStyle w:val="Compact"/>
        <w:numPr>
          <w:ilvl w:val="0"/>
          <w:numId w:val="1009"/>
        </w:numPr>
      </w:pPr>
      <w:r>
        <w:t xml:space="preserve">No increase in powder-metal costs</w:t>
      </w:r>
    </w:p>
    <w:p>
      <w:pPr>
        <w:pStyle w:val="Compact"/>
        <w:numPr>
          <w:ilvl w:val="0"/>
          <w:numId w:val="1009"/>
        </w:numPr>
      </w:pPr>
      <w:r>
        <w:t xml:space="preserve">EPS guidance raised or management points toward the high end</w:t>
      </w:r>
    </w:p>
    <w:p>
      <w:pPr>
        <w:pStyle w:val="Compact"/>
        <w:numPr>
          <w:ilvl w:val="0"/>
          <w:numId w:val="1009"/>
        </w:numPr>
      </w:pPr>
      <w:r>
        <w:t xml:space="preserve">Full-year free-cash-flow guidance maintained</w:t>
      </w:r>
    </w:p>
    <w:bookmarkEnd w:id="27"/>
    <w:bookmarkStart w:id="28" w:name="neutral-outcome"/>
    <w:p>
      <w:pPr>
        <w:pStyle w:val="Heading3"/>
      </w:pPr>
      <w:r>
        <w:t xml:space="preserve">Neutral outcome</w:t>
      </w:r>
    </w:p>
    <w:p>
      <w:pPr>
        <w:pStyle w:val="Compact"/>
        <w:numPr>
          <w:ilvl w:val="0"/>
          <w:numId w:val="1010"/>
        </w:numPr>
      </w:pPr>
      <w:r>
        <w:t xml:space="preserve">Modest headline beat</w:t>
      </w:r>
    </w:p>
    <w:p>
      <w:pPr>
        <w:pStyle w:val="Compact"/>
        <w:numPr>
          <w:ilvl w:val="0"/>
          <w:numId w:val="1010"/>
        </w:numPr>
      </w:pPr>
      <w:r>
        <w:t xml:space="preserve">Segment results broadly in line</w:t>
      </w:r>
    </w:p>
    <w:p>
      <w:pPr>
        <w:pStyle w:val="Compact"/>
        <w:numPr>
          <w:ilvl w:val="0"/>
          <w:numId w:val="1010"/>
        </w:numPr>
      </w:pPr>
      <w:r>
        <w:t xml:space="preserve">Existing guidance reiterated</w:t>
      </w:r>
    </w:p>
    <w:p>
      <w:pPr>
        <w:pStyle w:val="Compact"/>
        <w:numPr>
          <w:ilvl w:val="0"/>
          <w:numId w:val="1010"/>
        </w:numPr>
      </w:pPr>
      <w:r>
        <w:t xml:space="preserve">GTF and supply-chain trends described as on track, without meaningful acceleration</w:t>
      </w:r>
    </w:p>
    <w:bookmarkEnd w:id="28"/>
    <w:bookmarkStart w:id="29" w:name="bearish-outcome"/>
    <w:p>
      <w:pPr>
        <w:pStyle w:val="Heading3"/>
      </w:pPr>
      <w:r>
        <w:t xml:space="preserve">Bearish outcome</w:t>
      </w:r>
    </w:p>
    <w:p>
      <w:pPr>
        <w:pStyle w:val="Compact"/>
        <w:numPr>
          <w:ilvl w:val="0"/>
          <w:numId w:val="1011"/>
        </w:numPr>
      </w:pPr>
      <w:r>
        <w:t xml:space="preserve">Miss or low-quality beat driven by tax or below-the-line items</w:t>
      </w:r>
    </w:p>
    <w:p>
      <w:pPr>
        <w:pStyle w:val="Compact"/>
        <w:numPr>
          <w:ilvl w:val="0"/>
          <w:numId w:val="1011"/>
        </w:numPr>
      </w:pPr>
      <w:r>
        <w:t xml:space="preserve">Raytheon output constrained by suppliers</w:t>
      </w:r>
    </w:p>
    <w:p>
      <w:pPr>
        <w:pStyle w:val="Compact"/>
        <w:numPr>
          <w:ilvl w:val="0"/>
          <w:numId w:val="1011"/>
        </w:numPr>
      </w:pPr>
      <w:r>
        <w:t xml:space="preserve">Pratt margin pressure without a corresponding improvement in fleet health</w:t>
      </w:r>
    </w:p>
    <w:p>
      <w:pPr>
        <w:pStyle w:val="Compact"/>
        <w:numPr>
          <w:ilvl w:val="0"/>
          <w:numId w:val="1011"/>
        </w:numPr>
      </w:pPr>
      <w:r>
        <w:t xml:space="preserve">GTF AOG progress stalls</w:t>
      </w:r>
    </w:p>
    <w:p>
      <w:pPr>
        <w:pStyle w:val="Compact"/>
        <w:numPr>
          <w:ilvl w:val="0"/>
          <w:numId w:val="1011"/>
        </w:numPr>
      </w:pPr>
      <w:r>
        <w:t xml:space="preserve">Powder-metal cash or compensation assumptions increase</w:t>
      </w:r>
    </w:p>
    <w:p>
      <w:pPr>
        <w:pStyle w:val="Compact"/>
        <w:numPr>
          <w:ilvl w:val="0"/>
          <w:numId w:val="1011"/>
        </w:numPr>
      </w:pPr>
      <w:r>
        <w:t xml:space="preserve">Free-cash-flow guidance reduced</w:t>
      </w:r>
    </w:p>
    <w:p>
      <w:pPr>
        <w:pStyle w:val="Compact"/>
        <w:numPr>
          <w:ilvl w:val="0"/>
          <w:numId w:val="1011"/>
        </w:numPr>
      </w:pPr>
      <w:r>
        <w:t xml:space="preserve">Guidance remains unchanged while management sounds more cautious</w:t>
      </w:r>
    </w:p>
    <w:bookmarkEnd w:id="29"/>
    <w:bookmarkEnd w:id="30"/>
    <w:bookmarkStart w:id="31" w:name="bottom-line"/>
    <w:p>
      <w:pPr>
        <w:pStyle w:val="Heading2"/>
      </w:pPr>
      <w:r>
        <w:t xml:space="preserve">Bottom line</w:t>
      </w:r>
    </w:p>
    <w:p>
      <w:pPr>
        <w:pStyle w:val="FirstParagraph"/>
      </w:pPr>
      <w:r>
        <w:t xml:space="preserve">RTX has one of the strongest demand backdrops in large-cap aerospace and defense, supported by a</w:t>
      </w:r>
      <w:r>
        <w:t xml:space="preserve"> </w:t>
      </w:r>
      <w:r>
        <w:rPr>
          <w:b/>
          <w:bCs/>
        </w:rPr>
        <w:t xml:space="preserve">$271 billion backlog</w:t>
      </w:r>
      <w:r>
        <w:t xml:space="preserve">, including $162 billion commercial and $109 billion defense at the end of Q1. (</w:t>
      </w:r>
      <w:hyperlink r:id="rId14">
        <w:r>
          <w:rPr>
            <w:rStyle w:val="Hyperlink"/>
          </w:rPr>
          <w:t xml:space="preserve">sec.gov</w:t>
        </w:r>
      </w:hyperlink>
      <w:r>
        <w:t xml:space="preserve">)</w:t>
      </w:r>
    </w:p>
    <w:p>
      <w:pPr>
        <w:pStyle w:val="BodyText"/>
      </w:pPr>
      <w:r>
        <w:t xml:space="preserve">The Q2 debate is about execution and expectations. Raytheon should remain the principal earnings-upside engine, Pratt’s MRO performance must demonstrate that the GTF recovery is progressing, and Collins needs to preserve margins through a heavier OE ramp. Given the valuation and the strong Q1, investors should demand more than a routine consensus beat.</w:t>
      </w:r>
    </w:p>
    <w:p>
      <w:pPr>
        <w:pStyle w:val="BodyText"/>
      </w:pPr>
      <w:r>
        <w:rPr>
          <w:b/>
          <w:bCs/>
        </w:rPr>
        <w:t xml:space="preserve">The most consequential datapoints will be Raytheon production and margin, the GTF AOG trajectory, and whether RTX raises—or credibly leans toward the upper end of—its 2026 EPS outlook while preserving free-cash-flow guidance.</w:t>
      </w:r>
    </w:p>
    <w:bookmarkEnd w:id="31"/>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6" Target="https://investors.rtx.com/static-files/2c351bfe-d90c-4990-9910-a5dbd4e6b23b?utm_source=openai" TargetMode="External" /><Relationship Type="http://schemas.openxmlformats.org/officeDocument/2006/relationships/hyperlink" Id="rId12" Target="https://www.benzinga.com/quote/RTX/earnings" TargetMode="External" /><Relationship Type="http://schemas.openxmlformats.org/officeDocument/2006/relationships/hyperlink" Id="rId15" Target="https://www.rtx.com/news/2026/02/04/munitions-agreements" TargetMode="External" /><Relationship Type="http://schemas.openxmlformats.org/officeDocument/2006/relationships/hyperlink" Id="rId20" Target="https://www.rtx.com/news/news-center/2026/04/17/rtxs-pratt-whitney-gtf-advantage-engine-certified-for-airbus-a320neo-aircraft?utm_source=openai" TargetMode="External" /><Relationship Type="http://schemas.openxmlformats.org/officeDocument/2006/relationships/hyperlink" Id="rId10" Target="https://www.rtx.com/news/news-center/2026/04/21/rtx-reports-q1-2026-results-" TargetMode="External" /><Relationship Type="http://schemas.openxmlformats.org/officeDocument/2006/relationships/hyperlink" Id="rId9" Target="https://www.rtx.com/news/news-center/2026/06/30/rtx-to-release-second-quarter-earnings-results-on-july-23-2026" TargetMode="External" /><Relationship Type="http://schemas.openxmlformats.org/officeDocument/2006/relationships/hyperlink" Id="rId19" Target="https://www.rtx.com/news/news-center/2026/07/22/rtxs-pratt-whitney-gtf-engines-surpass-800-orders-and-commitments-in-2026-ye?utm_source=openai" TargetMode="External" /><Relationship Type="http://schemas.openxmlformats.org/officeDocument/2006/relationships/hyperlink" Id="rId14" Target="https://www.sec.gov/Archives/edgar/data/101829/000010182926000011/rtx-20260331.htm" TargetMode="External" /></Relationships>
</file>

<file path=word/_rels/footnotes.xml.rels><?xml version="1.0" encoding="UTF-8"?><Relationships xmlns="http://schemas.openxmlformats.org/package/2006/relationships"><Relationship Type="http://schemas.openxmlformats.org/officeDocument/2006/relationships/hyperlink" Id="rId16" Target="https://investors.rtx.com/static-files/2c351bfe-d90c-4990-9910-a5dbd4e6b23b?utm_source=openai" TargetMode="External" /><Relationship Type="http://schemas.openxmlformats.org/officeDocument/2006/relationships/hyperlink" Id="rId12" Target="https://www.benzinga.com/quote/RTX/earnings" TargetMode="External" /><Relationship Type="http://schemas.openxmlformats.org/officeDocument/2006/relationships/hyperlink" Id="rId15" Target="https://www.rtx.com/news/2026/02/04/munitions-agreements" TargetMode="External" /><Relationship Type="http://schemas.openxmlformats.org/officeDocument/2006/relationships/hyperlink" Id="rId20" Target="https://www.rtx.com/news/news-center/2026/04/17/rtxs-pratt-whitney-gtf-advantage-engine-certified-for-airbus-a320neo-aircraft?utm_source=openai" TargetMode="External" /><Relationship Type="http://schemas.openxmlformats.org/officeDocument/2006/relationships/hyperlink" Id="rId10" Target="https://www.rtx.com/news/news-center/2026/04/21/rtx-reports-q1-2026-results-" TargetMode="External" /><Relationship Type="http://schemas.openxmlformats.org/officeDocument/2006/relationships/hyperlink" Id="rId9" Target="https://www.rtx.com/news/news-center/2026/06/30/rtx-to-release-second-quarter-earnings-results-on-july-23-2026" TargetMode="External" /><Relationship Type="http://schemas.openxmlformats.org/officeDocument/2006/relationships/hyperlink" Id="rId19" Target="https://www.rtx.com/news/news-center/2026/07/22/rtxs-pratt-whitney-gtf-engines-surpass-800-orders-and-commitments-in-2026-ye?utm_source=openai" TargetMode="External" /><Relationship Type="http://schemas.openxmlformats.org/officeDocument/2006/relationships/hyperlink" Id="rId14" Target="https://www.sec.gov/Archives/edgar/data/101829/000010182926000011/rtx-2026033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2026-07-23T00:10:54Z</dcterms:created>
  <dcterms:modified xsi:type="dcterms:W3CDTF">2026-07-23T00:10:54Z</dcterms:modified>
</cp:coreProperties>
</file>

<file path=docProps/custom.xml><?xml version="1.0" encoding="utf-8"?>
<Properties xmlns="http://schemas.openxmlformats.org/officeDocument/2006/custom-properties" xmlns:vt="http://schemas.openxmlformats.org/officeDocument/2006/docPropsVTypes"/>
</file>