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tx-earnings-predictions--2026-07-23"/>
    <w:p>
      <w:pPr>
        <w:pStyle w:val="Heading1"/>
      </w:pPr>
      <w:r>
        <w:t xml:space="preserve">RTX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~$1.71 vs. cons $1.66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~$23.15B vs. cons $22.88B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Raytheon adjusted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~$0.87B vs. cons $0.83B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sales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~$93.25B vs. cons $93.10B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~$6.85 vs. cons $6.83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~$8.50B vs. cons $8.50B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+4.2%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6.85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6.83 consensus and ~</w:t>
            </w:r>
            <m:oMath>
              <m:r>
                <m:t>93.25</m:t>
              </m:r>
              <m:r>
                <m:t>B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93.10B support modest out-period upward revisions; the ~</w:t>
            </w:r>
            <m:oMath>
              <m:r>
                <m:t>8.50</m:t>
              </m:r>
              <m:r>
                <m:t>B</m:t>
              </m:r>
              <m:r>
                <m:t>F</m:t>
              </m:r>
              <m:r>
                <m:t>C</m:t>
              </m:r>
              <m:r>
                <m:t>F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8.50B consensus avoids a cash-conversion offset.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2026-07-23T00:08:27Z</dcterms:created>
  <dcterms:modified xsi:type="dcterms:W3CDTF">2026-07-23T00:08:27Z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