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rtx-q2-2026-earnings-preview"/>
    <w:p>
      <w:pPr>
        <w:pStyle w:val="Heading1"/>
      </w:pPr>
      <w:r>
        <w:t xml:space="preserve">RTX Q2 2026 Earnings Preview</w:t>
      </w:r>
    </w:p>
    <w:p>
      <w:pPr>
        <w:pStyle w:val="FirstParagraph"/>
      </w:pPr>
      <w:r>
        <w:rPr>
          <w:b/>
          <w:bCs/>
        </w:rPr>
        <w:t xml:space="preserve">Event:</w:t>
      </w:r>
      <w:r>
        <w:t xml:space="preserve"> </w:t>
      </w:r>
      <w:r>
        <w:t xml:space="preserve">Thursday, July 23, 2026, before the U.S. market open</w:t>
      </w:r>
      <w:r>
        <w:br/>
      </w:r>
      <w:r>
        <w:rPr>
          <w:b/>
          <w:bCs/>
        </w:rPr>
        <w:t xml:space="preserve">Focus:</w:t>
      </w:r>
      <w:r>
        <w:t xml:space="preserve"> </w:t>
      </w:r>
      <w:r>
        <w:t xml:space="preserve">Whether RTX can validate a</w:t>
      </w:r>
      <w:r>
        <w:t xml:space="preserve"> </w:t>
      </w:r>
      <w:r>
        <w:rPr>
          <w:i/>
          <w:iCs/>
        </w:rPr>
        <w:t xml:space="preserve">beat-and-raise</w:t>
      </w:r>
      <w:r>
        <w:t xml:space="preserve"> </w:t>
      </w:r>
      <w:r>
        <w:t xml:space="preserve">setup while sustaining aerospace recovery, defense-production momentum, and free-cash-flow delivery.</w:t>
      </w:r>
    </w:p>
    <w:bookmarkStart w:id="9" w:name="Xd1f1b02296836e0c70bc9bbd629e43e40950dbb"/>
    <w:p>
      <w:pPr>
        <w:pStyle w:val="Heading2"/>
      </w:pPr>
      <w:r>
        <w:t xml:space="preserve">Investment view: strong fundamentals, elevated expectations</w:t>
      </w:r>
    </w:p>
    <w:p>
      <w:pPr>
        <w:pStyle w:val="FirstParagraph"/>
      </w:pPr>
      <w:r>
        <w:t xml:space="preserve">RTX enters Q2 with three favorable operating drivers: commercial aerospace aftermarket demand, improving Pratt &amp; Whitney GTF fleet execution, and accelerating missile/air-defense production at Raytheon. Q1 was a strong start: organic sales grew 10%, adjusted EPS rose 21% to</w:t>
      </w:r>
      <w:r>
        <w:t xml:space="preserve"> </w:t>
      </w:r>
      <m:oMath>
        <m:r>
          <m:t>1.78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b</m:t>
        </m:r>
        <m:r>
          <m:t>a</m:t>
        </m:r>
        <m:r>
          <m:t>c</m:t>
        </m:r>
        <m:r>
          <m:t>k</m:t>
        </m:r>
        <m:r>
          <m:t>l</m:t>
        </m:r>
        <m:r>
          <m:t>o</m:t>
        </m:r>
        <m:r>
          <m:t>g</m:t>
        </m:r>
        <m:r>
          <m:t>r</m:t>
        </m:r>
        <m:r>
          <m:t>e</m:t>
        </m:r>
        <m:r>
          <m:t>a</m:t>
        </m:r>
        <m:r>
          <m:t>c</m:t>
        </m:r>
        <m:r>
          <m:t>h</m:t>
        </m:r>
        <m:r>
          <m:t>e</m:t>
        </m:r>
        <m:r>
          <m:t>d</m:t>
        </m:r>
        <m:r>
          <m:t>a</m:t>
        </m:r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271 billion**.</w:t>
      </w:r>
    </w:p>
    <w:p>
      <w:pPr>
        <w:pStyle w:val="BodyText"/>
      </w:pPr>
      <w:r>
        <w:t xml:space="preserve">However, the setup is demanding. The Street is looking for approximately</w:t>
      </w:r>
      <w:r>
        <w:t xml:space="preserve"> </w:t>
      </w:r>
      <m:oMath>
        <m:r>
          <m:t>22.88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Q</m:t>
        </m:r>
        <m:r>
          <m:t>2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rPr>
            <m:sty m:val="p"/>
          </m:rPr>
          <m:t>+</m:t>
        </m:r>
        <m:r>
          <m:t>6</m:t>
        </m:r>
      </m:oMath>
      <w:r>
        <w:rPr>
          <w:b/>
          <w:bCs/>
        </w:rPr>
        <w:t xml:space="preserve">1.66 of adjusted EPS</w:t>
      </w:r>
      <w:r>
        <w:t xml:space="preserve"> </w:t>
      </w:r>
      <w:r>
        <w:t xml:space="preserve">(+6.4%). Investor sentiment heading into the report is bullish, with a “beat-and-raise” outcome broadly anticipated. RTX closed at</w:t>
      </w:r>
      <w:r>
        <w:t xml:space="preserve"> </w:t>
      </w:r>
      <w:r>
        <w:rPr>
          <w:b/>
          <w:bCs/>
        </w:rPr>
        <w:t xml:space="preserve">$194.91 on July 22</w:t>
      </w:r>
      <w:r>
        <w:t xml:space="preserve">; that is roughly</w:t>
      </w:r>
      <w:r>
        <w:t xml:space="preserve"> </w:t>
      </w:r>
      <w:r>
        <w:rPr>
          <w:b/>
          <w:bCs/>
        </w:rPr>
        <w:t xml:space="preserve">28.7x</w:t>
      </w:r>
      <w:r>
        <w:t xml:space="preserve"> </w:t>
      </w:r>
      <w:r>
        <w:t xml:space="preserve">the midpoint of its current 2026 adjusted-EPS guide, and the shares are up about</w:t>
      </w:r>
      <w:r>
        <w:t xml:space="preserve"> </w:t>
      </w:r>
      <w:r>
        <w:rPr>
          <w:b/>
          <w:bCs/>
        </w:rPr>
        <w:t xml:space="preserve">13.9%</w:t>
      </w:r>
      <w:r>
        <w:t xml:space="preserve"> </w:t>
      </w:r>
      <w:r>
        <w:t xml:space="preserve">from their May 15 low.</w:t>
      </w:r>
    </w:p>
    <w:p>
      <w:pPr>
        <w:pStyle w:val="BodyText"/>
      </w:pPr>
      <w:r>
        <w:rPr>
          <w:b/>
          <w:bCs/>
        </w:rPr>
        <w:t xml:space="preserve">Bottom line:</w:t>
      </w:r>
      <w:r>
        <w:t xml:space="preserve"> </w:t>
      </w:r>
      <w:r>
        <w:t xml:space="preserve">A numerical beat alone may not be enough. The most important question is whether management raises—or at least materially de-risks—the full-year outlook through stronger Raytheon output, durable aftermarket demand, and credible cash conversion.</w:t>
      </w:r>
    </w:p>
    <w:p>
      <w:r>
        <w:pict>
          <v:rect style="width:0;height:1.5pt" o:hralign="center" o:hrstd="t" o:hr="t"/>
        </w:pict>
      </w:r>
    </w:p>
    <w:bookmarkEnd w:id="9"/>
    <w:bookmarkStart w:id="10" w:name="the-numbers-that-matter"/>
    <w:p>
      <w:pPr>
        <w:pStyle w:val="Heading2"/>
      </w:pPr>
      <w:r>
        <w:t xml:space="preserve">The numbers that matter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Street view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Q1 2026 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$21.58B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~$22.88B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$22.08B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$1.56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~$1.66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$1.78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~6% implied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$(72)M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Key watch item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$1.31B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Backlog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$236B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$271B</w:t>
            </w:r>
          </w:p>
        </w:tc>
      </w:tr>
    </w:tbl>
    <w:p>
      <w:pPr>
        <w:pStyle w:val="BodyText"/>
      </w:pPr>
      <w:r>
        <w:t xml:space="preserve">RTX’s current</w:t>
      </w:r>
      <w:r>
        <w:t xml:space="preserve"> </w:t>
      </w:r>
      <w:r>
        <w:rPr>
          <w:b/>
          <w:bCs/>
        </w:rPr>
        <w:t xml:space="preserve">2026 guidance</w:t>
      </w:r>
      <w:r>
        <w:t xml:space="preserve"> </w:t>
      </w:r>
      <w:r>
        <w:t xml:space="preserve">is: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Adjusted sales:</w:t>
      </w:r>
      <w:r>
        <w:t xml:space="preserve"> </w:t>
      </w:r>
      <m:oMath>
        <m:r>
          <m:t>92.5</m:t>
        </m:r>
        <m:r>
          <m:t>B</m:t>
        </m:r>
        <m:r>
          <m:rPr>
            <m:sty m:val="p"/>
          </m:rPr>
          <m:t>–</m:t>
        </m:r>
      </m:oMath>
      <w:r>
        <w:t xml:space="preserve">93.5B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Organic sales growth:</w:t>
      </w:r>
      <w:r>
        <w:t xml:space="preserve"> </w:t>
      </w:r>
      <w:r>
        <w:t xml:space="preserve">5%–6%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Adjusted EPS:</w:t>
      </w:r>
      <w:r>
        <w:t xml:space="preserve"> </w:t>
      </w:r>
      <m:oMath>
        <m:r>
          <m:t>6.70</m:t>
        </m:r>
        <m:r>
          <m:rPr>
            <m:sty m:val="p"/>
          </m:rPr>
          <m:t>–</m:t>
        </m:r>
      </m:oMath>
      <w:r>
        <w:t xml:space="preserve">6.90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Free cash flow:</w:t>
      </w:r>
      <w:r>
        <w:t xml:space="preserve"> </w:t>
      </w:r>
      <m:oMath>
        <m:r>
          <m:t>8.25</m:t>
        </m:r>
        <m:r>
          <m:t>B</m:t>
        </m:r>
        <m:r>
          <m:rPr>
            <m:sty m:val="p"/>
          </m:rPr>
          <m:t>–</m:t>
        </m:r>
      </m:oMath>
      <w:r>
        <w:t xml:space="preserve">8.75B</w:t>
      </w:r>
    </w:p>
    <w:p>
      <w:pPr>
        <w:pStyle w:val="FirstParagraph"/>
      </w:pPr>
      <w:r>
        <w:t xml:space="preserve">The company raised adjusted-sales guidance by $500 million and adjusted EPS by $0.10 at Q1, largely on better-than-expected Raytheon performance. That makes the defense segment—and management’s willingness to raise it again—the central swing factor for the Q2 print.</w:t>
      </w:r>
    </w:p>
    <w:p>
      <w:r>
        <w:pict>
          <v:rect style="width:0;height:1.5pt" o:hralign="center" o:hrstd="t" o:hr="t"/>
        </w:pict>
      </w:r>
    </w:p>
    <w:bookmarkEnd w:id="10"/>
    <w:bookmarkStart w:id="11" w:name="what-investors-should-watch-by-segment"/>
    <w:p>
      <w:pPr>
        <w:pStyle w:val="Heading2"/>
      </w:pPr>
      <w:r>
        <w:t xml:space="preserve">What investors should watch by segment</w:t>
      </w:r>
    </w:p>
    <w:bookmarkEnd w:id="11"/>
    <w:bookmarkStart w:id="13" w:name="X7856105ffa7846e0f8a7a392ff525b9eb8457c6"/>
    <w:p>
      <w:pPr>
        <w:pStyle w:val="Heading2"/>
      </w:pPr>
      <w:r>
        <w:t xml:space="preserve">1. Raytheon: the most important upside lever</w:t>
      </w:r>
    </w:p>
    <w:p>
      <w:pPr>
        <w:pStyle w:val="FirstParagraph"/>
      </w:pPr>
      <w:r>
        <w:t xml:space="preserve">Raytheon was the standout in Q1:</w:t>
      </w:r>
    </w:p>
    <w:p>
      <w:pPr>
        <w:pStyle w:val="Compact"/>
        <w:numPr>
          <w:ilvl w:val="0"/>
          <w:numId w:val="1002"/>
        </w:numPr>
      </w:pPr>
      <w:r>
        <w:t xml:space="preserve">Sales:</w:t>
      </w:r>
      <w:r>
        <w:t xml:space="preserve"> </w:t>
      </w:r>
      <w:r>
        <w:rPr>
          <w:b/>
          <w:bCs/>
        </w:rPr>
        <w:t xml:space="preserve">$6.95B</w:t>
      </w:r>
      <w:r>
        <w:t xml:space="preserve">, up 10% reported and 9% organically</w:t>
      </w:r>
    </w:p>
    <w:p>
      <w:pPr>
        <w:pStyle w:val="Compact"/>
        <w:numPr>
          <w:ilvl w:val="0"/>
          <w:numId w:val="1002"/>
        </w:numPr>
      </w:pPr>
      <w:r>
        <w:t xml:space="preserve">Adjusted operating profit:</w:t>
      </w:r>
      <w:r>
        <w:t xml:space="preserve"> </w:t>
      </w:r>
      <w:r>
        <w:rPr>
          <w:b/>
          <w:bCs/>
        </w:rPr>
        <w:t xml:space="preserve">$845M</w:t>
      </w:r>
      <w:r>
        <w:t xml:space="preserve">, up 25%</w:t>
      </w:r>
    </w:p>
    <w:p>
      <w:pPr>
        <w:pStyle w:val="Compact"/>
        <w:numPr>
          <w:ilvl w:val="0"/>
          <w:numId w:val="1002"/>
        </w:numPr>
      </w:pPr>
      <w:r>
        <w:t xml:space="preserve">Adjusted margin:</w:t>
      </w:r>
      <w:r>
        <w:t xml:space="preserve"> </w:t>
      </w:r>
      <w:r>
        <w:rPr>
          <w:b/>
          <w:bCs/>
        </w:rPr>
        <w:t xml:space="preserve">12.2%</w:t>
      </w:r>
      <w:r>
        <w:t xml:space="preserve">, up 150 basis points year over year</w:t>
      </w:r>
    </w:p>
    <w:p>
      <w:pPr>
        <w:pStyle w:val="Compact"/>
        <w:numPr>
          <w:ilvl w:val="0"/>
          <w:numId w:val="1002"/>
        </w:numPr>
      </w:pPr>
      <w:r>
        <w:t xml:space="preserve">Q1 backlog:</w:t>
      </w:r>
      <w:r>
        <w:t xml:space="preserve"> </w:t>
      </w:r>
      <w:r>
        <w:rPr>
          <w:b/>
          <w:bCs/>
        </w:rPr>
        <w:t xml:space="preserve">$74B</w:t>
      </w:r>
    </w:p>
    <w:p>
      <w:pPr>
        <w:pStyle w:val="FirstParagraph"/>
      </w:pPr>
      <w:r>
        <w:t xml:space="preserve">The strength came from higher output in land and air defense—particularly</w:t>
      </w:r>
      <w:r>
        <w:t xml:space="preserve"> </w:t>
      </w:r>
      <w:r>
        <w:rPr>
          <w:b/>
          <w:bCs/>
        </w:rPr>
        <w:t xml:space="preserve">Patriot, GEM-T and naval munitions</w:t>
      </w:r>
      <w:r>
        <w:t xml:space="preserve">—plus favorable program mix and better productivity. RTX also said total munitions deliveries rose more than 40% year over year in Q1.</w:t>
      </w:r>
    </w:p>
    <w:bookmarkStart w:id="12" w:name="key-q2-questions"/>
    <w:p>
      <w:pPr>
        <w:pStyle w:val="Heading3"/>
      </w:pPr>
      <w:r>
        <w:t xml:space="preserve">Key Q2 questions</w:t>
      </w:r>
    </w:p>
    <w:p>
      <w:pPr>
        <w:pStyle w:val="Compact"/>
        <w:numPr>
          <w:ilvl w:val="0"/>
          <w:numId w:val="1003"/>
        </w:numPr>
      </w:pPr>
      <w:r>
        <w:t xml:space="preserve">Can Raytheon maintain high-single-digit-or-better organic growth?</w:t>
      </w:r>
    </w:p>
    <w:p>
      <w:pPr>
        <w:pStyle w:val="Compact"/>
        <w:numPr>
          <w:ilvl w:val="0"/>
          <w:numId w:val="1003"/>
        </w:numPr>
      </w:pPr>
      <w:r>
        <w:t xml:space="preserve">Does adjusted margin remain around or above the</w:t>
      </w:r>
      <w:r>
        <w:t xml:space="preserve"> </w:t>
      </w:r>
      <w:r>
        <w:rPr>
          <w:b/>
          <w:bCs/>
        </w:rPr>
        <w:t xml:space="preserve">11.6%</w:t>
      </w:r>
      <w:r>
        <w:t xml:space="preserve"> </w:t>
      </w:r>
      <w:r>
        <w:t xml:space="preserve">achieved in Q2 2025?</w:t>
      </w:r>
    </w:p>
    <w:p>
      <w:pPr>
        <w:pStyle w:val="Compact"/>
        <w:numPr>
          <w:ilvl w:val="0"/>
          <w:numId w:val="1003"/>
        </w:numPr>
      </w:pPr>
      <w:r>
        <w:t xml:space="preserve">Are material receipts and supplier performance still improving fast enough to support the production ramp?</w:t>
      </w:r>
    </w:p>
    <w:p>
      <w:pPr>
        <w:pStyle w:val="Compact"/>
        <w:numPr>
          <w:ilvl w:val="0"/>
          <w:numId w:val="1003"/>
        </w:numPr>
      </w:pPr>
      <w:r>
        <w:t xml:space="preserve">Is there new detail on long-term munitions framework agreements, funding, pricing, or conversion into funded backlog?</w:t>
      </w:r>
    </w:p>
    <w:p>
      <w:pPr>
        <w:pStyle w:val="Compact"/>
        <w:numPr>
          <w:ilvl w:val="0"/>
          <w:numId w:val="1003"/>
        </w:numPr>
      </w:pPr>
      <w:r>
        <w:t xml:space="preserve">Does management raise the full-year Raytheon sales or profit outlook again?</w:t>
      </w:r>
    </w:p>
    <w:p>
      <w:pPr>
        <w:pStyle w:val="FirstParagraph"/>
      </w:pPr>
      <w:r>
        <w:t xml:space="preserve">The bull case is that Raytheon’s current backlog does not yet capture the full potential from longer-term replenishment demand, missile-defense priorities, and international demand. The risk is that the supply chain—especially rocket motors, microelectronics, critical materials, and qualified labor—cannot scale at the pace implied by demand.</w:t>
      </w:r>
    </w:p>
    <w:p>
      <w:pPr>
        <w:pStyle w:val="BodyText"/>
      </w:pPr>
      <w:r>
        <w:rPr>
          <w:b/>
          <w:bCs/>
        </w:rPr>
        <w:t xml:space="preserve">Preview read-through:</w:t>
      </w:r>
      <w:r>
        <w:t xml:space="preserve"> </w:t>
      </w:r>
      <w:r>
        <w:t xml:space="preserve">Better Raytheon mix and production execution are the clearest route to another guide increase.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5" w:name="Xe364e7fd4cd527503dceefbd8ea146e1018fc45"/>
    <w:p>
      <w:pPr>
        <w:pStyle w:val="Heading2"/>
      </w:pPr>
      <w:r>
        <w:t xml:space="preserve">2. Pratt &amp; Whitney: GTF execution is still the key risk/reward debate</w:t>
      </w:r>
    </w:p>
    <w:p>
      <w:pPr>
        <w:pStyle w:val="FirstParagraph"/>
      </w:pPr>
      <w:r>
        <w:t xml:space="preserve">Pratt delivered a notably stronger Q1:</w:t>
      </w:r>
    </w:p>
    <w:p>
      <w:pPr>
        <w:pStyle w:val="Compact"/>
        <w:numPr>
          <w:ilvl w:val="0"/>
          <w:numId w:val="1004"/>
        </w:numPr>
      </w:pPr>
      <w:r>
        <w:t xml:space="preserve">Sales:</w:t>
      </w:r>
      <w:r>
        <w:t xml:space="preserve"> </w:t>
      </w:r>
      <w:r>
        <w:rPr>
          <w:b/>
          <w:bCs/>
        </w:rPr>
        <w:t xml:space="preserve">$8.17B</w:t>
      </w:r>
      <w:r>
        <w:t xml:space="preserve">, up 11%</w:t>
      </w:r>
    </w:p>
    <w:p>
      <w:pPr>
        <w:pStyle w:val="Compact"/>
        <w:numPr>
          <w:ilvl w:val="0"/>
          <w:numId w:val="1004"/>
        </w:numPr>
      </w:pPr>
      <w:r>
        <w:t xml:space="preserve">Adjusted operating profit:</w:t>
      </w:r>
      <w:r>
        <w:t xml:space="preserve"> </w:t>
      </w:r>
      <w:r>
        <w:rPr>
          <w:b/>
          <w:bCs/>
        </w:rPr>
        <w:t xml:space="preserve">$711M</w:t>
      </w:r>
      <w:r>
        <w:t xml:space="preserve">, up 21%</w:t>
      </w:r>
    </w:p>
    <w:p>
      <w:pPr>
        <w:pStyle w:val="Compact"/>
        <w:numPr>
          <w:ilvl w:val="0"/>
          <w:numId w:val="1004"/>
        </w:numPr>
      </w:pPr>
      <w:r>
        <w:t xml:space="preserve">Adjusted margin:</w:t>
      </w:r>
      <w:r>
        <w:t xml:space="preserve"> </w:t>
      </w:r>
      <w:r>
        <w:rPr>
          <w:b/>
          <w:bCs/>
        </w:rPr>
        <w:t xml:space="preserve">8.7%</w:t>
      </w:r>
      <w:r>
        <w:t xml:space="preserve">, up 70 basis points</w:t>
      </w:r>
    </w:p>
    <w:p>
      <w:pPr>
        <w:pStyle w:val="Compact"/>
        <w:numPr>
          <w:ilvl w:val="0"/>
          <w:numId w:val="1004"/>
        </w:numPr>
      </w:pPr>
      <w:r>
        <w:t xml:space="preserve">Commercial aftermarket sales:</w:t>
      </w:r>
      <w:r>
        <w:t xml:space="preserve"> </w:t>
      </w:r>
      <w:r>
        <w:rPr>
          <w:b/>
          <w:bCs/>
        </w:rPr>
        <w:t xml:space="preserve">+19%</w:t>
      </w:r>
    </w:p>
    <w:p>
      <w:pPr>
        <w:pStyle w:val="Compact"/>
        <w:numPr>
          <w:ilvl w:val="0"/>
          <w:numId w:val="1004"/>
        </w:numPr>
      </w:pPr>
      <w:r>
        <w:t xml:space="preserve">Military sales:</w:t>
      </w:r>
      <w:r>
        <w:t xml:space="preserve"> </w:t>
      </w:r>
      <w:r>
        <w:rPr>
          <w:b/>
          <w:bCs/>
        </w:rPr>
        <w:t xml:space="preserve">+7%</w:t>
      </w:r>
      <w:r>
        <w:t xml:space="preserve">, supported by F135 production</w:t>
      </w:r>
    </w:p>
    <w:p>
      <w:pPr>
        <w:pStyle w:val="FirstParagraph"/>
      </w:pPr>
      <w:r>
        <w:t xml:space="preserve">The GTF fleet-management plan remains the primary operational issue. RTX reported that PW1100 engine AOGs declined about</w:t>
      </w:r>
      <w:r>
        <w:t xml:space="preserve"> </w:t>
      </w:r>
      <w:r>
        <w:rPr>
          <w:b/>
          <w:bCs/>
        </w:rPr>
        <w:t xml:space="preserve">15% from year-end</w:t>
      </w:r>
      <w:r>
        <w:t xml:space="preserve"> </w:t>
      </w:r>
      <w:r>
        <w:t xml:space="preserve">in Q1, supported by a</w:t>
      </w:r>
      <w:r>
        <w:t xml:space="preserve"> </w:t>
      </w:r>
      <w:r>
        <w:rPr>
          <w:b/>
          <w:bCs/>
        </w:rPr>
        <w:t xml:space="preserve">23% increase in PW1100 MRO output</w:t>
      </w:r>
      <w:r>
        <w:t xml:space="preserve">. Management also maintained its plan for mid- to high-single-digit large-commercial-engine delivery growth in 2026.</w:t>
      </w:r>
    </w:p>
    <w:bookmarkStart w:id="14" w:name="key-q2-questions-1"/>
    <w:p>
      <w:pPr>
        <w:pStyle w:val="Heading3"/>
      </w:pPr>
      <w:r>
        <w:t xml:space="preserve">Key Q2 questions</w:t>
      </w:r>
    </w:p>
    <w:p>
      <w:pPr>
        <w:pStyle w:val="Compact"/>
        <w:numPr>
          <w:ilvl w:val="0"/>
          <w:numId w:val="1005"/>
        </w:numPr>
      </w:pPr>
      <w:r>
        <w:t xml:space="preserve">Did GTF AOGs continue to fall, and is MRO turnaround improving?</w:t>
      </w:r>
    </w:p>
    <w:p>
      <w:pPr>
        <w:pStyle w:val="Compact"/>
        <w:numPr>
          <w:ilvl w:val="0"/>
          <w:numId w:val="1005"/>
        </w:numPr>
      </w:pPr>
      <w:r>
        <w:t xml:space="preserve">Can Pratt sustain strong aftermarket growth, particularly from heavier shop visits?</w:t>
      </w:r>
    </w:p>
    <w:p>
      <w:pPr>
        <w:pStyle w:val="Compact"/>
        <w:numPr>
          <w:ilvl w:val="0"/>
          <w:numId w:val="1005"/>
        </w:numPr>
      </w:pPr>
      <w:r>
        <w:t xml:space="preserve">Is the balance between material allocated to MRO and new-engine deliveries on plan?</w:t>
      </w:r>
    </w:p>
    <w:p>
      <w:pPr>
        <w:pStyle w:val="Compact"/>
        <w:numPr>
          <w:ilvl w:val="0"/>
          <w:numId w:val="1005"/>
        </w:numPr>
      </w:pPr>
      <w:r>
        <w:t xml:space="preserve">Are OE losses worsening as deliveries ramp, or is pricing/cost discipline containing the headwind?</w:t>
      </w:r>
    </w:p>
    <w:p>
      <w:pPr>
        <w:pStyle w:val="Compact"/>
        <w:numPr>
          <w:ilvl w:val="0"/>
          <w:numId w:val="1005"/>
        </w:numPr>
      </w:pPr>
      <w:r>
        <w:t xml:space="preserve">Is the planned introduction of the</w:t>
      </w:r>
      <w:r>
        <w:t xml:space="preserve"> </w:t>
      </w:r>
      <w:r>
        <w:rPr>
          <w:b/>
          <w:bCs/>
        </w:rPr>
        <w:t xml:space="preserve">Hot Section Plus</w:t>
      </w:r>
      <w:r>
        <w:t xml:space="preserve"> </w:t>
      </w:r>
      <w:r>
        <w:t xml:space="preserve">retrofit package progressing on schedule?</w:t>
      </w:r>
    </w:p>
    <w:p>
      <w:pPr>
        <w:pStyle w:val="FirstParagraph"/>
      </w:pPr>
      <w:r>
        <w:t xml:space="preserve">Pratt’s Q2 2025 comparison is relatively favorable: last year’s quarter included a four-week work stoppage, though adjusted operating profit still grew 13%. The bar is therefore higher than the headline 2025 figures suggest.</w:t>
      </w:r>
    </w:p>
    <w:p>
      <w:pPr>
        <w:pStyle w:val="BodyText"/>
      </w:pPr>
      <w:r>
        <w:rPr>
          <w:b/>
          <w:bCs/>
        </w:rPr>
        <w:t xml:space="preserve">Preview read-through:</w:t>
      </w:r>
      <w:r>
        <w:t xml:space="preserve"> </w:t>
      </w:r>
      <w:r>
        <w:t xml:space="preserve">Continued GTF fleet improvement, stable-to-improving margins, and no change to the powder-metal financial outlook would be a material confidence builder.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7" w:name="Xb28695cd55ac107adce6ca1b981b2b49a0692e5"/>
    <w:p>
      <w:pPr>
        <w:pStyle w:val="Heading2"/>
      </w:pPr>
      <w:r>
        <w:t xml:space="preserve">3. Collins Aerospace: resilient, but mix and tariffs matter</w:t>
      </w:r>
    </w:p>
    <w:p>
      <w:pPr>
        <w:pStyle w:val="FirstParagraph"/>
      </w:pPr>
      <w:r>
        <w:t xml:space="preserve">Collins produced steady Q1 execution:</w:t>
      </w:r>
    </w:p>
    <w:p>
      <w:pPr>
        <w:pStyle w:val="Compact"/>
        <w:numPr>
          <w:ilvl w:val="0"/>
          <w:numId w:val="1006"/>
        </w:numPr>
      </w:pPr>
      <w:r>
        <w:t xml:space="preserve">Sales:</w:t>
      </w:r>
      <w:r>
        <w:t xml:space="preserve"> </w:t>
      </w:r>
      <w:r>
        <w:rPr>
          <w:b/>
          <w:bCs/>
        </w:rPr>
        <w:t xml:space="preserve">$7.60B</w:t>
      </w:r>
      <w:r>
        <w:t xml:space="preserve">, up 5% reported and 10% organically</w:t>
      </w:r>
    </w:p>
    <w:p>
      <w:pPr>
        <w:pStyle w:val="Compact"/>
        <w:numPr>
          <w:ilvl w:val="0"/>
          <w:numId w:val="1006"/>
        </w:numPr>
      </w:pPr>
      <w:r>
        <w:t xml:space="preserve">Adjusted operating profit:</w:t>
      </w:r>
      <w:r>
        <w:t xml:space="preserve"> </w:t>
      </w:r>
      <w:r>
        <w:rPr>
          <w:b/>
          <w:bCs/>
        </w:rPr>
        <w:t xml:space="preserve">$1.30B</w:t>
      </w:r>
      <w:r>
        <w:t xml:space="preserve">, up 6%</w:t>
      </w:r>
    </w:p>
    <w:p>
      <w:pPr>
        <w:pStyle w:val="Compact"/>
        <w:numPr>
          <w:ilvl w:val="0"/>
          <w:numId w:val="1006"/>
        </w:numPr>
      </w:pPr>
      <w:r>
        <w:t xml:space="preserve">Adjusted margin:</w:t>
      </w:r>
      <w:r>
        <w:t xml:space="preserve"> </w:t>
      </w:r>
      <w:r>
        <w:rPr>
          <w:b/>
          <w:bCs/>
        </w:rPr>
        <w:t xml:space="preserve">17.1%</w:t>
      </w:r>
    </w:p>
    <w:p>
      <w:pPr>
        <w:pStyle w:val="Compact"/>
        <w:numPr>
          <w:ilvl w:val="0"/>
          <w:numId w:val="1006"/>
        </w:numPr>
      </w:pPr>
      <w:r>
        <w:t xml:space="preserve">Commercial OE:</w:t>
      </w:r>
      <w:r>
        <w:t xml:space="preserve"> </w:t>
      </w:r>
      <w:r>
        <w:rPr>
          <w:b/>
          <w:bCs/>
        </w:rPr>
        <w:t xml:space="preserve">+15%</w:t>
      </w:r>
    </w:p>
    <w:p>
      <w:pPr>
        <w:pStyle w:val="Compact"/>
        <w:numPr>
          <w:ilvl w:val="0"/>
          <w:numId w:val="1006"/>
        </w:numPr>
      </w:pPr>
      <w:r>
        <w:t xml:space="preserve">Commercial aftermarket:</w:t>
      </w:r>
      <w:r>
        <w:t xml:space="preserve"> </w:t>
      </w:r>
      <w:r>
        <w:rPr>
          <w:b/>
          <w:bCs/>
        </w:rPr>
        <w:t xml:space="preserve">+7%</w:t>
      </w:r>
    </w:p>
    <w:p>
      <w:pPr>
        <w:pStyle w:val="Compact"/>
        <w:numPr>
          <w:ilvl w:val="0"/>
          <w:numId w:val="1006"/>
        </w:numPr>
      </w:pPr>
      <w:r>
        <w:t xml:space="preserve">Defense:</w:t>
      </w:r>
      <w:r>
        <w:t xml:space="preserve"> </w:t>
      </w:r>
      <w:r>
        <w:rPr>
          <w:b/>
          <w:bCs/>
        </w:rPr>
        <w:t xml:space="preserve">+9%</w:t>
      </w:r>
    </w:p>
    <w:p>
      <w:pPr>
        <w:pStyle w:val="FirstParagraph"/>
      </w:pPr>
      <w:r>
        <w:t xml:space="preserve">The favorable fundamental backdrop is clear: commercial OEM production is ramping, aircraft fleets continue to age into out-of-warranty service, and defense demand remains solid. But Collins faces two offsetting issues: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Commercial OE mix:</w:t>
      </w:r>
      <w:r>
        <w:t xml:space="preserve"> </w:t>
      </w:r>
      <w:r>
        <w:t xml:space="preserve">Greater widebody exposure can dilute margins.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Tariffs and input costs:</w:t>
      </w:r>
      <w:r>
        <w:t xml:space="preserve"> </w:t>
      </w:r>
      <w:r>
        <w:t xml:space="preserve">Collins absorbed a meaningful tariff headwind in Q1, although productivity and volume more than offset it.</w:t>
      </w:r>
    </w:p>
    <w:bookmarkStart w:id="16" w:name="key-q2-questions-2"/>
    <w:p>
      <w:pPr>
        <w:pStyle w:val="Heading3"/>
      </w:pPr>
      <w:r>
        <w:t xml:space="preserve">Key Q2 questions</w:t>
      </w:r>
    </w:p>
    <w:p>
      <w:pPr>
        <w:pStyle w:val="Compact"/>
        <w:numPr>
          <w:ilvl w:val="0"/>
          <w:numId w:val="1008"/>
        </w:numPr>
      </w:pPr>
      <w:r>
        <w:t xml:space="preserve">Is commercial aftermarket still growing at a healthy rate, particularly parts and repairs?</w:t>
      </w:r>
    </w:p>
    <w:p>
      <w:pPr>
        <w:pStyle w:val="Compact"/>
        <w:numPr>
          <w:ilvl w:val="0"/>
          <w:numId w:val="1008"/>
        </w:numPr>
      </w:pPr>
      <w:r>
        <w:t xml:space="preserve">Are airlines holding up on provisioning and modifications/upgrades?</w:t>
      </w:r>
    </w:p>
    <w:p>
      <w:pPr>
        <w:pStyle w:val="Compact"/>
        <w:numPr>
          <w:ilvl w:val="0"/>
          <w:numId w:val="1008"/>
        </w:numPr>
      </w:pPr>
      <w:r>
        <w:t xml:space="preserve">Has the commercial-OE mix become a larger margin headwind?</w:t>
      </w:r>
    </w:p>
    <w:p>
      <w:pPr>
        <w:pStyle w:val="Compact"/>
        <w:numPr>
          <w:ilvl w:val="0"/>
          <w:numId w:val="1008"/>
        </w:numPr>
      </w:pPr>
      <w:r>
        <w:t xml:space="preserve">Is Collins still demonstrating margin resilience despite tariffs?</w:t>
      </w:r>
    </w:p>
    <w:p>
      <w:pPr>
        <w:pStyle w:val="FirstParagraph"/>
      </w:pPr>
      <w:r>
        <w:rPr>
          <w:b/>
          <w:bCs/>
        </w:rPr>
        <w:t xml:space="preserve">Preview read-through:</w:t>
      </w:r>
      <w:r>
        <w:t xml:space="preserve"> </w:t>
      </w:r>
      <w:r>
        <w:t xml:space="preserve">Collins does not need dramatic upside to support the stock, but a margin shortfall would matter because it would challenge the market’s expectation for broad-based execution across all three segments.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X6a4bd7e2e1b42ae4e17d52b2a45d76bf315f7f1"/>
    <w:p>
      <w:pPr>
        <w:pStyle w:val="Heading2"/>
      </w:pPr>
      <w:r>
        <w:t xml:space="preserve">Cash flow and capital deployment: likely underappreciated swing factor</w:t>
      </w:r>
    </w:p>
    <w:p>
      <w:pPr>
        <w:pStyle w:val="FirstParagraph"/>
      </w:pPr>
      <w:r>
        <w:t xml:space="preserve">RTX reaffirmed</w:t>
      </w:r>
      <w:r>
        <w:t xml:space="preserve"> </w:t>
      </w:r>
      <m:oMath>
        <m:r>
          <m:t>8.25</m:t>
        </m:r>
        <m:r>
          <m:t>B</m:t>
        </m:r>
        <m:r>
          <m:rPr>
            <m:sty m:val="p"/>
          </m:rPr>
          <m:t>–</m:t>
        </m:r>
      </m:oMath>
      <w:r>
        <w:rPr>
          <w:b/>
          <w:bCs/>
        </w:rPr>
        <w:t xml:space="preserve">8.75B</w:t>
      </w:r>
      <w:r>
        <w:t xml:space="preserve"> </w:t>
      </w:r>
      <w:r>
        <w:t xml:space="preserve">of 2026 free cash flow after generating</w:t>
      </w:r>
      <w:r>
        <w:t xml:space="preserve"> </w:t>
      </w:r>
      <w:r>
        <w:rPr>
          <w:b/>
          <w:bCs/>
        </w:rPr>
        <w:t xml:space="preserve">$1.31B</w:t>
      </w:r>
      <w:r>
        <w:t xml:space="preserve"> </w:t>
      </w:r>
      <w:r>
        <w:t xml:space="preserve">in Q1. That was a solid start, though quarterly cash flow is seasonal and Q2 2025 free cash flow was negative $72 million, partly due to the Pratt work stoppage.</w:t>
      </w:r>
    </w:p>
    <w:p>
      <w:pPr>
        <w:pStyle w:val="BodyText"/>
      </w:pPr>
      <w:r>
        <w:t xml:space="preserve">For Q2, investors should focus less on the single-quarter cash number and more on:</w:t>
      </w:r>
    </w:p>
    <w:p>
      <w:pPr>
        <w:pStyle w:val="Compact"/>
        <w:numPr>
          <w:ilvl w:val="0"/>
          <w:numId w:val="1009"/>
        </w:numPr>
      </w:pPr>
      <w:r>
        <w:t xml:space="preserve">Working-capital usage, especially inventory and contract assets;</w:t>
      </w:r>
    </w:p>
    <w:p>
      <w:pPr>
        <w:pStyle w:val="Compact"/>
        <w:numPr>
          <w:ilvl w:val="0"/>
          <w:numId w:val="1009"/>
        </w:numPr>
      </w:pPr>
      <w:r>
        <w:t xml:space="preserve">Powder-metal-related compensation and GTF-related cash needs;</w:t>
      </w:r>
    </w:p>
    <w:p>
      <w:pPr>
        <w:pStyle w:val="Compact"/>
        <w:numPr>
          <w:ilvl w:val="0"/>
          <w:numId w:val="1009"/>
        </w:numPr>
      </w:pPr>
      <w:r>
        <w:t xml:space="preserve">The pace of capital expenditure for missile and engine capacity;</w:t>
      </w:r>
    </w:p>
    <w:p>
      <w:pPr>
        <w:pStyle w:val="Compact"/>
        <w:numPr>
          <w:ilvl w:val="0"/>
          <w:numId w:val="1009"/>
        </w:numPr>
      </w:pPr>
      <w:r>
        <w:t xml:space="preserve">Debt reduction and the company’s ability to fund dividends, buybacks, and growth investments while still delivering the full-year free-cash-flow target.</w:t>
      </w:r>
    </w:p>
    <w:p>
      <w:pPr>
        <w:pStyle w:val="FirstParagraph"/>
      </w:pPr>
      <w:r>
        <w:t xml:space="preserve">A reaffirmation of free-cash-flow guidance should be acceptable. Any reduction—even alongside an earnings beat—would likely be viewed negatively given RTX’s premium valuation and the capital intensity of its production ramps.</w:t>
      </w:r>
    </w:p>
    <w:p>
      <w:r>
        <w:pict>
          <v:rect style="width:0;height:1.5pt" o:hralign="center" o:hrstd="t" o:hr="t"/>
        </w:pict>
      </w:r>
    </w:p>
    <w:bookmarkEnd w:id="18"/>
    <w:bookmarkStart w:id="19" w:name="tariffs-supply-chain-and-geopolitics"/>
    <w:p>
      <w:pPr>
        <w:pStyle w:val="Heading2"/>
      </w:pPr>
      <w:r>
        <w:t xml:space="preserve">Tariffs, supply chain, and geopolitics</w:t>
      </w:r>
    </w:p>
    <w:p>
      <w:pPr>
        <w:pStyle w:val="FirstParagraph"/>
      </w:pPr>
      <w:r>
        <w:t xml:space="preserve">Tariffs remain an earnings variable across RTX’s aerospace and defense franchises. Management indicated in Q1 that its full-year tariff outlook was unchanged and that any potential tariff refunds were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included in guidance. Q2 commentary should clarify whether tariffs remain manageable through mitigation, pricing, productivity, or supply-chain adjustments.</w:t>
      </w:r>
    </w:p>
    <w:p>
      <w:pPr>
        <w:pStyle w:val="BodyText"/>
      </w:pPr>
      <w:r>
        <w:t xml:space="preserve">The larger operational risk remains execution rather than demand: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Defense:</w:t>
      </w:r>
      <w:r>
        <w:t xml:space="preserve"> </w:t>
      </w:r>
      <w:r>
        <w:t xml:space="preserve">supplier capacity, critical materials, rocket motors, electronics, labor, and conversion of demand into funded awards.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Commercial aerospace:</w:t>
      </w:r>
      <w:r>
        <w:t xml:space="preserve"> </w:t>
      </w:r>
      <w:r>
        <w:t xml:space="preserve">airline capacity decisions, aircraft production rates, supplier constraints, and the pace of GTF MRO recovery.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Pratt:</w:t>
      </w:r>
      <w:r>
        <w:t xml:space="preserve"> </w:t>
      </w:r>
      <w:r>
        <w:t xml:space="preserve">durability, shop-visit throughput, and customer compensation associated with the powder-metal issue.</w:t>
      </w:r>
    </w:p>
    <w:p>
      <w:r>
        <w:pict>
          <v:rect style="width:0;height:1.5pt" o:hralign="center" o:hrstd="t" o:hr="t"/>
        </w:pict>
      </w:r>
    </w:p>
    <w:bookmarkEnd w:id="19"/>
    <w:bookmarkStart w:id="23" w:name="what-would-constitute-a-positive-report"/>
    <w:p>
      <w:pPr>
        <w:pStyle w:val="Heading2"/>
      </w:pPr>
      <w:r>
        <w:t xml:space="preserve">What would constitute a positive report?</w:t>
      </w:r>
    </w:p>
    <w:bookmarkStart w:id="20" w:name="bullish-outcome"/>
    <w:p>
      <w:pPr>
        <w:pStyle w:val="Heading3"/>
      </w:pPr>
      <w:r>
        <w:t xml:space="preserve">Bullish outcome</w:t>
      </w:r>
    </w:p>
    <w:p>
      <w:pPr>
        <w:pStyle w:val="Compact"/>
        <w:numPr>
          <w:ilvl w:val="0"/>
          <w:numId w:val="1011"/>
        </w:numPr>
      </w:pPr>
      <w:r>
        <w:t xml:space="preserve">Revenue and adjusted EPS beat consensus with quality driven by segment profit—not tax or below-the-line items.</w:t>
      </w:r>
    </w:p>
    <w:p>
      <w:pPr>
        <w:pStyle w:val="Compact"/>
        <w:numPr>
          <w:ilvl w:val="0"/>
          <w:numId w:val="1011"/>
        </w:numPr>
      </w:pPr>
      <w:r>
        <w:t xml:space="preserve">Raytheon growth and margin exceed expectations, followed by another increase to its 2026 outlook.</w:t>
      </w:r>
    </w:p>
    <w:p>
      <w:pPr>
        <w:pStyle w:val="Compact"/>
        <w:numPr>
          <w:ilvl w:val="0"/>
          <w:numId w:val="1011"/>
        </w:numPr>
      </w:pPr>
      <w:r>
        <w:t xml:space="preserve">Pratt reports further AOG reduction, stronger MRO output, and continued aftermarket growth.</w:t>
      </w:r>
    </w:p>
    <w:p>
      <w:pPr>
        <w:pStyle w:val="Compact"/>
        <w:numPr>
          <w:ilvl w:val="0"/>
          <w:numId w:val="1011"/>
        </w:numPr>
      </w:pPr>
      <w:r>
        <w:t xml:space="preserve">Collins sustains margins despite OE mix and tariffs.</w:t>
      </w:r>
    </w:p>
    <w:p>
      <w:pPr>
        <w:pStyle w:val="Compact"/>
        <w:numPr>
          <w:ilvl w:val="0"/>
          <w:numId w:val="1011"/>
        </w:numPr>
      </w:pPr>
      <w:r>
        <w:t xml:space="preserve">RTX raises adjusted sales and/or EPS guidance, or provides exceptionally strong evidence that the current guide is conservative.</w:t>
      </w:r>
    </w:p>
    <w:p>
      <w:pPr>
        <w:pStyle w:val="Compact"/>
        <w:numPr>
          <w:ilvl w:val="0"/>
          <w:numId w:val="1011"/>
        </w:numPr>
      </w:pPr>
      <w:r>
        <w:t xml:space="preserve">Free-cash-flow guidance remains intact with no incremental GTF cash concern.</w:t>
      </w:r>
    </w:p>
    <w:bookmarkEnd w:id="20"/>
    <w:bookmarkStart w:id="21" w:name="merely-acceptable-outcome"/>
    <w:p>
      <w:pPr>
        <w:pStyle w:val="Heading3"/>
      </w:pPr>
      <w:r>
        <w:t xml:space="preserve">Merely acceptable outcome</w:t>
      </w:r>
    </w:p>
    <w:p>
      <w:pPr>
        <w:pStyle w:val="Compact"/>
        <w:numPr>
          <w:ilvl w:val="0"/>
          <w:numId w:val="1012"/>
        </w:numPr>
      </w:pPr>
      <w:r>
        <w:t xml:space="preserve">Modest EPS beat, revenue roughly in line, and full-year guidance maintained.</w:t>
      </w:r>
    </w:p>
    <w:p>
      <w:pPr>
        <w:pStyle w:val="Compact"/>
        <w:numPr>
          <w:ilvl w:val="0"/>
          <w:numId w:val="1012"/>
        </w:numPr>
      </w:pPr>
      <w:r>
        <w:t xml:space="preserve">Raytheon remains strong, but management is cautious on supply chain, tariffs, or conversion timing.</w:t>
      </w:r>
    </w:p>
    <w:p>
      <w:pPr>
        <w:pStyle w:val="Compact"/>
        <w:numPr>
          <w:ilvl w:val="0"/>
          <w:numId w:val="1012"/>
        </w:numPr>
      </w:pPr>
      <w:r>
        <w:t xml:space="preserve">Pratt progresses operationally but provides limited new evidence on the pace of AOG reduction.</w:t>
      </w:r>
    </w:p>
    <w:bookmarkEnd w:id="21"/>
    <w:bookmarkStart w:id="22" w:name="bearish-outcome"/>
    <w:p>
      <w:pPr>
        <w:pStyle w:val="Heading3"/>
      </w:pPr>
      <w:r>
        <w:t xml:space="preserve">Bearish outcome</w:t>
      </w:r>
    </w:p>
    <w:p>
      <w:pPr>
        <w:pStyle w:val="Compact"/>
        <w:numPr>
          <w:ilvl w:val="0"/>
          <w:numId w:val="1013"/>
        </w:numPr>
      </w:pPr>
      <w:r>
        <w:t xml:space="preserve">A miss or guide cut driven by Pratt/GTF execution, a defense supply-chain disruption, or weaker aerospace aftermarket.</w:t>
      </w:r>
    </w:p>
    <w:p>
      <w:pPr>
        <w:pStyle w:val="Compact"/>
        <w:numPr>
          <w:ilvl w:val="0"/>
          <w:numId w:val="1013"/>
        </w:numPr>
      </w:pPr>
      <w:r>
        <w:t xml:space="preserve">Raytheon margin pressure from accelerated production or unfavorable program mix.</w:t>
      </w:r>
    </w:p>
    <w:p>
      <w:pPr>
        <w:pStyle w:val="Compact"/>
        <w:numPr>
          <w:ilvl w:val="0"/>
          <w:numId w:val="1013"/>
        </w:numPr>
      </w:pPr>
      <w:r>
        <w:t xml:space="preserve">Collins margin weakness from OE mix, tariffs, or softer discretionary aftermarket.</w:t>
      </w:r>
    </w:p>
    <w:p>
      <w:pPr>
        <w:pStyle w:val="Compact"/>
        <w:numPr>
          <w:ilvl w:val="0"/>
          <w:numId w:val="1013"/>
        </w:numPr>
      </w:pPr>
      <w:r>
        <w:t xml:space="preserve">Free-cash-flow guidance reduction or materially higher powder-metal-related cash needs.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4" w:name="earnings-call-questions-that-matter-most"/>
    <w:p>
      <w:pPr>
        <w:pStyle w:val="Heading2"/>
      </w:pPr>
      <w:r>
        <w:t xml:space="preserve">Earnings-call questions that matter most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Raytheon:</w:t>
      </w:r>
      <w:r>
        <w:t xml:space="preserve"> </w:t>
      </w:r>
      <w:r>
        <w:t xml:space="preserve">What production, supplier, and material-receipt milestones support the increased munitions ramp in the second half?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Raytheon:</w:t>
      </w:r>
      <w:r>
        <w:t xml:space="preserve"> </w:t>
      </w:r>
      <w:r>
        <w:t xml:space="preserve">How much of the long-term munitions opportunity is funded backlog today versus framework-agreement potential?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Pratt:</w:t>
      </w:r>
      <w:r>
        <w:t xml:space="preserve"> </w:t>
      </w:r>
      <w:r>
        <w:t xml:space="preserve">What was the sequential AOG reduction in Q2, and is GTF MRO output still tracking to the fleet-management plan?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Pratt:</w:t>
      </w:r>
      <w:r>
        <w:t xml:space="preserve"> </w:t>
      </w:r>
      <w:r>
        <w:t xml:space="preserve">How is the company balancing engine deliveries against MRO material needs, and what is the expected 2026 OE-margin headwind?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Collins:</w:t>
      </w:r>
      <w:r>
        <w:t xml:space="preserve"> </w:t>
      </w:r>
      <w:r>
        <w:t xml:space="preserve">How are provisioning, parts/repair, and modifications demand trending as airlines manage costs and capacity?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Cash flow:</w:t>
      </w:r>
      <w:r>
        <w:t xml:space="preserve"> </w:t>
      </w:r>
      <w:r>
        <w:t xml:space="preserve">What are the principal sources and uses of cash through the second half, and is the free-cash-flow target fully intact?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Tariffs:</w:t>
      </w:r>
      <w:r>
        <w:t xml:space="preserve"> </w:t>
      </w:r>
      <w:r>
        <w:t xml:space="preserve">Has the net tariff outlook changed, and is RTX assuming any recoveries in its outlook?</w:t>
      </w:r>
    </w:p>
    <w:p>
      <w:r>
        <w:pict>
          <v:rect style="width:0;height:1.5pt" o:hralign="center" o:hrstd="t" o:hr="t"/>
        </w:pict>
      </w:r>
    </w:p>
    <w:bookmarkEnd w:id="24"/>
    <w:bookmarkStart w:id="26" w:name="takeaway"/>
    <w:p>
      <w:pPr>
        <w:pStyle w:val="Heading2"/>
      </w:pPr>
      <w:r>
        <w:t xml:space="preserve">Takeaway</w:t>
      </w:r>
    </w:p>
    <w:p>
      <w:pPr>
        <w:pStyle w:val="FirstParagraph"/>
      </w:pPr>
      <w:r>
        <w:t xml:space="preserve">RTX is a high-quality aerospace-and-defense compounder with unusually broad exposure to commercial aftermarket, engine MRO, missile defense, and munitions replenishment. The Q2 setup is favorable operationally—but no longer forgiving from an expectations perspective.</w:t>
      </w:r>
    </w:p>
    <w:p>
      <w:pPr>
        <w:pStyle w:val="BodyText"/>
      </w:pPr>
      <w:r>
        <w:t xml:space="preserve">The report needs to demonstrate that Q1’s momentum was not a one-quarter event:</w:t>
      </w:r>
      <w:r>
        <w:t xml:space="preserve"> </w:t>
      </w:r>
      <w:r>
        <w:rPr>
          <w:b/>
          <w:bCs/>
        </w:rPr>
        <w:t xml:space="preserve">Raytheon must keep converting demand into higher-margin output, Pratt must keep improving GTF fleet availability, and free cash flow must remain credible.</w:t>
      </w:r>
      <w:r>
        <w:t xml:space="preserve"> </w:t>
      </w:r>
      <w:r>
        <w:t xml:space="preserve">A beat paired with a raise would reinforce the premium valuation; a beat paired only with maintained guidance could prompt a more muted market reaction.</w:t>
      </w:r>
    </w:p>
    <w:bookmarkStart w:id="25" w:name="sources"/>
    <w:p>
      <w:pPr>
        <w:pStyle w:val="Heading3"/>
      </w:pPr>
      <w:r>
        <w:t xml:space="preserve">Sources</w:t>
      </w:r>
    </w:p>
    <w:p>
      <w:pPr>
        <w:pStyle w:val="Compact"/>
        <w:numPr>
          <w:ilvl w:val="0"/>
          <w:numId w:val="1015"/>
        </w:numPr>
      </w:pPr>
      <w:r>
        <w:t xml:space="preserve">RTX Q1 2026 earnings release and earnings-call transcript, April 21, 2026</w:t>
      </w:r>
    </w:p>
    <w:p>
      <w:pPr>
        <w:pStyle w:val="Compact"/>
        <w:numPr>
          <w:ilvl w:val="0"/>
          <w:numId w:val="1015"/>
        </w:numPr>
      </w:pPr>
      <w:r>
        <w:t xml:space="preserve">RTX Q2 2025 earnings release, July 22, 2025</w:t>
      </w:r>
    </w:p>
    <w:p>
      <w:pPr>
        <w:pStyle w:val="Compact"/>
        <w:numPr>
          <w:ilvl w:val="0"/>
          <w:numId w:val="1015"/>
        </w:numPr>
      </w:pPr>
      <w:r>
        <w:t xml:space="preserve">RTX daily market-news digest, July 17, 2026</w:t>
      </w:r>
    </w:p>
    <w:p>
      <w:pPr>
        <w:pStyle w:val="Compact"/>
        <w:numPr>
          <w:ilvl w:val="0"/>
          <w:numId w:val="1015"/>
        </w:numPr>
      </w:pPr>
      <w:r>
        <w:t xml:space="preserve">RTX share-price history through July 22, 2026</w:t>
      </w:r>
    </w:p>
    <w:bookmarkEnd w:id="25"/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2026-07-23T00:08:27Z</dcterms:created>
  <dcterms:modified xsi:type="dcterms:W3CDTF">2026-07-23T00:08:27Z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