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tx-earnings-predictions--2026-07-23"/>
    <w:p>
      <w:pPr>
        <w:pStyle w:val="Heading1"/>
      </w:pPr>
      <w:r>
        <w:t xml:space="preserve">RTX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~$1.82 vs cons $1.67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~$23.2B vs cons $22.9B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Backlog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~$280-282B vs cons $279.5B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FY2026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6.85</m:t>
              </m:r>
              <m:r>
                <m:rPr>
                  <m:sty m:val="p"/>
                </m:rPr>
                <m:t>−</m:t>
              </m:r>
            </m:oMath>
            <w:r>
              <w:t xml:space="preserve">7.05 (mid $6.95) vs cons $6.95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Sales FY2026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93.5</m:t>
              </m:r>
              <m:r>
                <m:rPr>
                  <m:sty m:val="p"/>
                </m:rPr>
                <m:t>−</m:t>
              </m:r>
            </m:oMath>
            <w:r>
              <w:t xml:space="preserve">94.5B (mid $94.0B) vs cons $94.3B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FCF FY2026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</w:t>
            </w:r>
            <w:r>
              <w:t xml:space="preserve"> </w:t>
            </w:r>
            <m:oMath>
              <m:r>
                <m:t>8.25</m:t>
              </m:r>
              <m:r>
                <m:rPr>
                  <m:sty m:val="p"/>
                </m:rPr>
                <m:t>−</m:t>
              </m:r>
            </m:oMath>
            <w:r>
              <w:t xml:space="preserve">8.75B vs cons $8.60B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H2 implied math constructive limits severity vs 2026Q1; B archetype does not recover fully in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2026-07-25T02:01:25Z</dcterms:created>
  <dcterms:modified xsi:type="dcterms:W3CDTF">2026-07-25T02:01:25Z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