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schw-earnings-predictions--2026-07-21"/>
    <w:p>
      <w:pPr>
        <w:pStyle w:val="Heading1"/>
      </w:pPr>
      <w:r>
        <w:t xml:space="preserve">SCHW Earnings Predictions — 2026-07-21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SCHW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~$1.58 vs. cons $1.53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SCHW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~$6.86B vs. cons $6.78B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SCHW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interest margin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~2.93% vs. cons 2.91%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SCHW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adj. EPS scenario refresh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~$6.15 vs. cons $5.98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SCHW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2H26 NIM trajectory (fewer rate cuts)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~2.95-3.00% vs. cons 2.92% (2H26)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SCHW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Core NNA / asset gathering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pred ~$130B vs. cons $120B (2Q26)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SCHW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Transactional sweep cash (tax-season drawdown)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~$450B vs. cons $455B (2Q26)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SCHW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SCHW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-1.0% (FADE)</w:t>
            </w:r>
          </w:p>
        </w:tc>
        <w:tc>
          <w:tcPr/>
          <w:p>
            <w:pPr>
              <w:pStyle w:val="Compact"/>
            </w:pPr>
            <w:r>
              <w:t xml:space="preserve">A beat plus a raised full-year scenario is the base case, but the stock has already round-tripped ~+20% off the late-May mid-</w:t>
            </w:r>
            <m:oMath>
              <m:r>
                <m:t>80</m:t>
              </m:r>
              <m:r>
                <m:t>s</m:t>
              </m:r>
              <m:r>
                <m:t>l</m:t>
              </m:r>
              <m:r>
                <m:t>o</m:t>
              </m:r>
              <m:r>
                <m:t>w</m:t>
              </m:r>
              <m:r>
                <m:t>b</m:t>
              </m:r>
              <m:r>
                <m:t>a</m:t>
              </m:r>
              <m:r>
                <m:t>c</m:t>
              </m:r>
              <m:r>
                <m:t>k</m:t>
              </m:r>
              <m:r>
                <m:t>t</m:t>
              </m:r>
              <m:r>
                <m:t>o</m:t>
              </m:r>
              <m:r>
                <m:t> </m:t>
              </m:r>
            </m:oMath>
            <w:r>
              <w:t xml:space="preserve">102.5, near YTD highs — expectations are constructive and much of the earnings power is re-priced in. With cash facing the seasonal April tax drawdown and the AI/cash-optimizer overhang still capping the multiple, a solid-but-priced-in print risks sell-the-news; even a guide raise likely gets faded as the out-period math (fewer rate cuts already known, RPT compression, tough NNA comps) tempers upward EPS revisions after the initial pop.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2026-07-21T00:23:06Z</dcterms:created>
  <dcterms:modified xsi:type="dcterms:W3CDTF">2026-07-21T00:23:06Z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