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Charles Schwab (SCHW) before writing the preview. Let me gather recent earnings materials, news, and market data.Let me read the most recent quarter's materials and gather more context.Now let me get the year-ago Q2 comparison, recent monthly metrics, and market data.Let me get the latest monthly metrics (June 2026 activity report) and Investor Day highlights.Let me get the latest monthly metrics disclosed for June and Investor Day targets.Let me try to pull the latest monthly activity metrics (June 2026) which cover the Q2 period.# Charles Schwab (SCHW) — Q2 2026 Earnings Preview</w:t>
      </w:r>
    </w:p>
    <w:p>
      <w:pPr>
        <w:pStyle w:val="BodyText"/>
      </w:pPr>
      <w:r>
        <w:rPr>
          <w:b/>
          <w:bCs/>
        </w:rPr>
        <w:t xml:space="preserve">Report date:</w:t>
      </w:r>
      <w:r>
        <w:t xml:space="preserve"> </w:t>
      </w:r>
      <w:r>
        <w:t xml:space="preserve">Tuesday, July 21, 2026 (before the open) |</w:t>
      </w:r>
      <w:r>
        <w:t xml:space="preserve"> </w:t>
      </w:r>
      <w:r>
        <w:rPr>
          <w:b/>
          <w:bCs/>
        </w:rPr>
        <w:t xml:space="preserve">Event:</w:t>
      </w:r>
      <w:r>
        <w:t xml:space="preserve"> </w:t>
      </w:r>
      <w:r>
        <w:t xml:space="preserve">2026Q2 Earnings Call / Summer Business Update</w:t>
      </w:r>
      <w:r>
        <w:t xml:space="preserve"> </w:t>
      </w:r>
      <w:r>
        <w:rPr>
          <w:b/>
          <w:bCs/>
        </w:rPr>
        <w:t xml:space="preserve">Recent price:</w:t>
      </w:r>
      <w:r>
        <w:t xml:space="preserve"> </w:t>
      </w:r>
      <w:r>
        <w:t xml:space="preserve">~$102.57 (July 20) |</w:t>
      </w:r>
      <w:r>
        <w:t xml:space="preserve"> </w:t>
      </w:r>
      <w:r>
        <w:rPr>
          <w:b/>
          <w:bCs/>
        </w:rPr>
        <w:t xml:space="preserve">YTD:</w:t>
      </w:r>
      <w:r>
        <w:t xml:space="preserve"> </w:t>
      </w:r>
      <w:r>
        <w:t xml:space="preserve">roughly flat after a sharp round-trip</w:t>
      </w:r>
    </w:p>
    <w:p>
      <w:r>
        <w:pict>
          <v:rect style="width:0;height:1.5pt" o:hralign="center" o:hrstd="t" o:hr="t"/>
        </w:pict>
      </w:r>
    </w:p>
    <w:bookmarkStart w:id="9" w:name="the-one-line-setup"/>
    <w:p>
      <w:pPr>
        <w:pStyle w:val="Heading2"/>
      </w:pPr>
      <w:r>
        <w:t xml:space="preserve">The one-line setup</w:t>
      </w:r>
    </w:p>
    <w:p>
      <w:pPr>
        <w:pStyle w:val="FirstParagraph"/>
      </w:pPr>
      <w:r>
        <w:t xml:space="preserve">Schwab enters this print with genuine fundamental momentum — record revenue and EPS last quarter, accelerating asset gathering, and record trading — but the stock has spent most of 2026 fighting an "AI cash-optimizer" narrative overhang rather than trading on those fundamentals. The question for Q2 is whether continued execution (and a fresh, likely raised, full-year outlook) can keep re-coupling the stock to earnings.</w:t>
      </w:r>
    </w:p>
    <w:p>
      <w:r>
        <w:pict>
          <v:rect style="width:0;height:1.5pt" o:hralign="center" o:hrstd="t" o:hr="t"/>
        </w:pict>
      </w:r>
    </w:p>
    <w:bookmarkEnd w:id="9"/>
    <w:bookmarkStart w:id="10" w:name="what-the-street-expects"/>
    <w:p>
      <w:pPr>
        <w:pStyle w:val="Heading2"/>
      </w:pPr>
      <w:r>
        <w:t xml:space="preserve">What the Street expects</w:t>
      </w:r>
    </w:p>
    <w:p>
      <w:pPr>
        <w:pStyle w:val="Compact"/>
        <w:numPr>
          <w:ilvl w:val="0"/>
          <w:numId w:val="1001"/>
        </w:numPr>
      </w:pPr>
      <w:r>
        <w:t xml:space="preserve">Consensus</w:t>
      </w:r>
      <w:r>
        <w:t xml:space="preserve"> </w:t>
      </w:r>
      <w:r>
        <w:rPr>
          <w:b/>
          <w:bCs/>
        </w:rPr>
        <w:t xml:space="preserve">EPS of roughly</w:t>
      </w:r>
      <w:r>
        <w:rPr>
          <w:b/>
          <w:bCs/>
        </w:rPr>
        <w:t xml:space="preserve"> </w:t>
      </w:r>
      <m:oMath>
        <m:r>
          <m:t>1.51</m:t>
        </m:r>
        <m:r>
          <m:rPr>
            <m:sty m:val="p"/>
          </m:rPr>
          <m:t>–</m:t>
        </m:r>
      </m:oMath>
      <w:r>
        <w:rPr>
          <w:b/>
          <w:bCs/>
        </w:rPr>
        <w:t xml:space="preserve">1.56</w:t>
      </w:r>
      <w:r>
        <w:t xml:space="preserve">, versus</w:t>
      </w:r>
      <w:r>
        <w:t xml:space="preserve"> </w:t>
      </w:r>
      <w:r>
        <w:rPr>
          <w:b/>
          <w:bCs/>
        </w:rPr>
        <w:t xml:space="preserve">$1.14 adjusted</w:t>
      </w:r>
      <w:r>
        <w:t xml:space="preserve"> </w:t>
      </w:r>
      <w:r>
        <w:t xml:space="preserve">in 2Q25 — i.e.,</w:t>
      </w:r>
      <w:r>
        <w:t xml:space="preserve"> </w:t>
      </w:r>
      <w:r>
        <w:rPr>
          <w:b/>
          <w:bCs/>
        </w:rPr>
        <w:t xml:space="preserve">~+33% to +37% YoY</w:t>
      </w:r>
      <w:r>
        <w:t xml:space="preserve"> </w:t>
      </w:r>
      <w:r>
        <w:t xml:space="preserve">growth.</w:t>
      </w:r>
    </w:p>
    <w:p>
      <w:pPr>
        <w:pStyle w:val="Compact"/>
        <w:numPr>
          <w:ilvl w:val="0"/>
          <w:numId w:val="1001"/>
        </w:numPr>
      </w:pPr>
      <w:r>
        <w:t xml:space="preserve">Revenue of</w:t>
      </w:r>
      <w:r>
        <w:t xml:space="preserve"> </w:t>
      </w:r>
      <w:r>
        <w:rPr>
          <w:b/>
          <w:bCs/>
        </w:rPr>
        <w:t xml:space="preserve">~$6.78B, up ~16% YoY</w:t>
      </w:r>
      <w:r>
        <w:t xml:space="preserve"> </w:t>
      </w:r>
      <w:r>
        <w:t xml:space="preserve">(2Q25 was $5.85B).</w:t>
      </w:r>
    </w:p>
    <w:p>
      <w:pPr>
        <w:pStyle w:val="Compact"/>
        <w:numPr>
          <w:ilvl w:val="0"/>
          <w:numId w:val="1001"/>
        </w:numPr>
      </w:pPr>
      <w:r>
        <w:t xml:space="preserve">This would extend a steep sequential EPS ramp: adjusted EPS has gone $1.04 → $1.14 →</w:t>
      </w:r>
      <w:r>
        <w:t xml:space="preserve"> </w:t>
      </w:r>
      <m:oMath>
        <m:r>
          <m:t>1.26</m:t>
        </m:r>
        <m:r>
          <m:rPr>
            <m:sty m:val="p"/>
          </m:rPr>
          <m:t>→</m:t>
        </m:r>
        <m:r>
          <m:t> </m:t>
        </m:r>
      </m:oMath>
      <w:r>
        <w:t xml:space="preserve">1.33 →</w:t>
      </w:r>
      <w:r>
        <w:t xml:space="preserve"> </w:t>
      </w:r>
      <w:r>
        <w:rPr>
          <w:b/>
          <w:bCs/>
        </w:rPr>
        <w:t xml:space="preserve">$1.43</w:t>
      </w:r>
      <w:r>
        <w:t xml:space="preserve"> </w:t>
      </w:r>
      <w:r>
        <w:t xml:space="preserve">over the past five quarters, and Q1 2026 GAAP/adjusted EPS was $1.37 / $1.43 (+38% YoY).</w:t>
      </w:r>
    </w:p>
    <w:p>
      <w:pPr>
        <w:pStyle w:val="FirstParagraph"/>
      </w:pPr>
      <w:r>
        <w:t xml:space="preserve">A beat is arguably the base case given the trajectory, so the reaction will hinge more on</w:t>
      </w:r>
      <w:r>
        <w:t xml:space="preserve"> </w:t>
      </w:r>
      <w:r>
        <w:rPr>
          <w:b/>
          <w:bCs/>
        </w:rPr>
        <w:t xml:space="preserve">cash/NIM trajectory, the full-year scenario refresh, and management's tone on the cash-monetization debate</w:t>
      </w:r>
      <w:r>
        <w:t xml:space="preserve"> </w:t>
      </w:r>
      <w:r>
        <w:t xml:space="preserve">than on the headline number.</w:t>
      </w:r>
    </w:p>
    <w:p>
      <w:r>
        <w:pict>
          <v:rect style="width:0;height:1.5pt" o:hralign="center" o:hrstd="t" o:hr="t"/>
        </w:pict>
      </w:r>
    </w:p>
    <w:bookmarkEnd w:id="10"/>
    <w:bookmarkStart w:id="11" w:name="q1-2026-recap--the-baseline-to-beat"/>
    <w:p>
      <w:pPr>
        <w:pStyle w:val="Heading2"/>
      </w:pPr>
      <w:r>
        <w:t xml:space="preserve">Q1 2026 recap — the baseline to beat</w:t>
      </w:r>
    </w:p>
    <w:p>
      <w:pPr>
        <w:pStyle w:val="FirstParagraph"/>
      </w:pPr>
      <w:r>
        <w:t xml:space="preserve">The spring quarter was a record across the board and sets a high bar:</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pPr>
            <w:r>
              <w:t xml:space="preserve">1Q26</w:t>
            </w:r>
          </w:p>
        </w:tc>
        <w:tc>
          <w:tcPr/>
          <w:p>
            <w:pPr>
              <w:pStyle w:val="Compact"/>
            </w:pPr>
            <w:r>
              <w:t xml:space="preserve">YoY</w:t>
            </w:r>
          </w:p>
        </w:tc>
      </w:tr>
      <w:tr>
        <w:tc>
          <w:tcPr/>
          <w:p>
            <w:pPr>
              <w:pStyle w:val="Compact"/>
            </w:pPr>
            <w:r>
              <w:t xml:space="preserve">Net revenue</w:t>
            </w:r>
          </w:p>
        </w:tc>
        <w:tc>
          <w:tcPr/>
          <w:p>
            <w:pPr>
              <w:pStyle w:val="Compact"/>
            </w:pPr>
            <w:r>
              <w:t xml:space="preserve">$6.48B</w:t>
            </w:r>
          </w:p>
        </w:tc>
        <w:tc>
          <w:tcPr/>
          <w:p>
            <w:pPr>
              <w:pStyle w:val="Compact"/>
            </w:pPr>
            <w:r>
              <w:t xml:space="preserve">+16%</w:t>
            </w:r>
          </w:p>
        </w:tc>
      </w:tr>
      <w:tr>
        <w:tc>
          <w:tcPr/>
          <w:p>
            <w:pPr>
              <w:pStyle w:val="Compact"/>
            </w:pPr>
            <w:r>
              <w:t xml:space="preserve">Adjusted EPS</w:t>
            </w:r>
          </w:p>
        </w:tc>
        <w:tc>
          <w:tcPr/>
          <w:p>
            <w:pPr>
              <w:pStyle w:val="Compact"/>
            </w:pPr>
            <w:r>
              <w:t xml:space="preserve">$1.43</w:t>
            </w:r>
          </w:p>
        </w:tc>
        <w:tc>
          <w:tcPr/>
          <w:p>
            <w:pPr>
              <w:pStyle w:val="Compact"/>
            </w:pPr>
            <w:r>
              <w:t xml:space="preserve">+38%</w:t>
            </w:r>
          </w:p>
        </w:tc>
      </w:tr>
      <w:tr>
        <w:tc>
          <w:tcPr/>
          <w:p>
            <w:pPr>
              <w:pStyle w:val="Compact"/>
            </w:pPr>
            <w:r>
              <w:t xml:space="preserve">Adjusted pre-tax margin</w:t>
            </w:r>
          </w:p>
        </w:tc>
        <w:tc>
          <w:tcPr/>
          <w:p>
            <w:pPr>
              <w:pStyle w:val="Compact"/>
            </w:pPr>
            <w:r>
              <w:t xml:space="preserve">51.4%</w:t>
            </w:r>
          </w:p>
        </w:tc>
        <w:tc>
          <w:tcPr/>
          <w:p>
            <w:pPr>
              <w:pStyle w:val="Compact"/>
            </w:pPr>
            <w:r>
              <w:t xml:space="preserve">+520 bps</w:t>
            </w:r>
          </w:p>
        </w:tc>
      </w:tr>
      <w:tr>
        <w:tc>
          <w:tcPr/>
          <w:p>
            <w:pPr>
              <w:pStyle w:val="Compact"/>
            </w:pPr>
            <w:r>
              <w:t xml:space="preserve">Total client assets</w:t>
            </w:r>
          </w:p>
        </w:tc>
        <w:tc>
          <w:tcPr/>
          <w:p>
            <w:pPr>
              <w:pStyle w:val="Compact"/>
            </w:pPr>
            <w:r>
              <w:t xml:space="preserve">$11.77T</w:t>
            </w:r>
          </w:p>
        </w:tc>
        <w:tc>
          <w:tcPr/>
          <w:p>
            <w:pPr>
              <w:pStyle w:val="Compact"/>
            </w:pPr>
            <w:r>
              <w:t xml:space="preserve">+19%</w:t>
            </w:r>
          </w:p>
        </w:tc>
      </w:tr>
      <w:tr>
        <w:tc>
          <w:tcPr/>
          <w:p>
            <w:pPr>
              <w:pStyle w:val="Compact"/>
            </w:pPr>
            <w:r>
              <w:t xml:space="preserve">Core NNA</w:t>
            </w:r>
          </w:p>
        </w:tc>
        <w:tc>
          <w:tcPr/>
          <w:p>
            <w:pPr>
              <w:pStyle w:val="Compact"/>
            </w:pPr>
            <m:oMath>
              <m:r>
                <m:t>140</m:t>
              </m:r>
              <m:r>
                <m:t>B</m:t>
              </m:r>
              <m:r>
                <m:rPr>
                  <m:sty m:val="p"/>
                </m:rPr>
                <m:t>(</m:t>
              </m:r>
            </m:oMath>
            <w:r>
              <w:t xml:space="preserve">157.5B ex-$17.5B planned MF clearing outflow)</w:t>
            </w:r>
          </w:p>
        </w:tc>
        <w:tc>
          <w:tcPr/>
          <w:p>
            <w:pPr>
              <w:pStyle w:val="Compact"/>
            </w:pPr>
            <w:r>
              <w:t xml:space="preserve">—</w:t>
            </w:r>
          </w:p>
        </w:tc>
      </w:tr>
      <w:tr>
        <w:tc>
          <w:tcPr/>
          <w:p>
            <w:pPr>
              <w:pStyle w:val="Compact"/>
            </w:pPr>
            <w:r>
              <w:t xml:space="preserve">Net interest margin</w:t>
            </w:r>
          </w:p>
        </w:tc>
        <w:tc>
          <w:tcPr/>
          <w:p>
            <w:pPr>
              <w:pStyle w:val="Compact"/>
            </w:pPr>
            <w:r>
              <w:t xml:space="preserve">2.88%</w:t>
            </w:r>
          </w:p>
        </w:tc>
        <w:tc>
          <w:tcPr/>
          <w:p>
            <w:pPr>
              <w:pStyle w:val="Compact"/>
            </w:pPr>
            <w:r>
              <w:t xml:space="preserve">+35 bps</w:t>
            </w:r>
          </w:p>
        </w:tc>
      </w:tr>
      <w:tr>
        <w:tc>
          <w:tcPr/>
          <w:p>
            <w:pPr>
              <w:pStyle w:val="Compact"/>
            </w:pPr>
            <w:r>
              <w:t xml:space="preserve">Bank loans</w:t>
            </w:r>
          </w:p>
        </w:tc>
        <w:tc>
          <w:tcPr/>
          <w:p>
            <w:pPr>
              <w:pStyle w:val="Compact"/>
            </w:pPr>
            <w:r>
              <w:t xml:space="preserve">$60.9B</w:t>
            </w:r>
          </w:p>
        </w:tc>
        <w:tc>
          <w:tcPr/>
          <w:p>
            <w:pPr>
              <w:pStyle w:val="Compact"/>
            </w:pPr>
            <w:r>
              <w:t xml:space="preserve">+29%</w:t>
            </w:r>
          </w:p>
        </w:tc>
      </w:tr>
      <w:tr>
        <w:tc>
          <w:tcPr/>
          <w:p>
            <w:pPr>
              <w:pStyle w:val="Compact"/>
            </w:pPr>
            <w:r>
              <w:t xml:space="preserve">Margin balances</w:t>
            </w:r>
          </w:p>
        </w:tc>
        <w:tc>
          <w:tcPr/>
          <w:p>
            <w:pPr>
              <w:pStyle w:val="Compact"/>
            </w:pPr>
            <w:r>
              <w:t xml:space="preserve">$126.7B</w:t>
            </w:r>
          </w:p>
        </w:tc>
        <w:tc>
          <w:tcPr/>
          <w:p>
            <w:pPr>
              <w:pStyle w:val="Compact"/>
            </w:pPr>
            <w:r>
              <w:t xml:space="preserve">+52%</w:t>
            </w:r>
          </w:p>
        </w:tc>
      </w:tr>
      <w:tr>
        <w:tc>
          <w:tcPr/>
          <w:p>
            <w:pPr>
              <w:pStyle w:val="Compact"/>
            </w:pPr>
            <w:r>
              <w:t xml:space="preserve">Daily average trades</w:t>
            </w:r>
          </w:p>
        </w:tc>
        <w:tc>
          <w:tcPr/>
          <w:p>
            <w:pPr>
              <w:pStyle w:val="Compact"/>
            </w:pPr>
            <w:r>
              <w:t xml:space="preserve">9.9M (record)</w:t>
            </w:r>
          </w:p>
        </w:tc>
        <w:tc>
          <w:tcPr/>
          <w:p>
            <w:pPr>
              <w:pStyle w:val="Compact"/>
            </w:pPr>
            <w:r>
              <w:t xml:space="preserve">+34%</w:t>
            </w:r>
          </w:p>
        </w:tc>
      </w:tr>
      <w:tr>
        <w:tc>
          <w:tcPr/>
          <w:p>
            <w:pPr>
              <w:pStyle w:val="Compact"/>
            </w:pPr>
            <w:r>
              <w:t xml:space="preserve">Revenue per trade</w:t>
            </w:r>
          </w:p>
        </w:tc>
        <w:tc>
          <w:tcPr/>
          <w:p>
            <w:pPr>
              <w:pStyle w:val="Compact"/>
            </w:pPr>
            <w:r>
              <w:t xml:space="preserve">$1.80</w:t>
            </w:r>
          </w:p>
        </w:tc>
        <w:tc>
          <w:tcPr/>
          <w:p>
            <w:pPr>
              <w:pStyle w:val="Compact"/>
            </w:pPr>
            <w:r>
              <w:t xml:space="preserve">–12%</w:t>
            </w:r>
          </w:p>
        </w:tc>
      </w:tr>
      <w:tr>
        <w:tc>
          <w:tcPr/>
          <w:p>
            <w:pPr>
              <w:pStyle w:val="Compact"/>
            </w:pPr>
            <w:r>
              <w:t xml:space="preserve">Transactional sweep cash</w:t>
            </w:r>
          </w:p>
        </w:tc>
        <w:tc>
          <w:tcPr/>
          <w:p>
            <w:pPr>
              <w:pStyle w:val="Compact"/>
            </w:pPr>
            <w:r>
              <w:t xml:space="preserve">$461.5B</w:t>
            </w:r>
          </w:p>
        </w:tc>
        <w:tc>
          <w:tcPr/>
          <w:p>
            <w:pPr>
              <w:pStyle w:val="Compact"/>
            </w:pPr>
            <w:r>
              <w:t xml:space="preserve">+13%</w:t>
            </w:r>
          </w:p>
        </w:tc>
      </w:tr>
    </w:tbl>
    <w:p>
      <w:pPr>
        <w:pStyle w:val="BodyText"/>
      </w:pPr>
      <w:r>
        <w:t xml:space="preserve">Capital return was aggressive: $2.4B of buybacks (24.3M shares) and a 19% dividend hike to $0.32. Management noted March was the second-highest NNA month ever, and the April "SMART" report referenced at Investor Day showed DATs above 10M — suggesting engagement carried into Q2.</w:t>
      </w:r>
    </w:p>
    <w:p>
      <w:r>
        <w:pict>
          <v:rect style="width:0;height:1.5pt" o:hralign="center" o:hrstd="t" o:hr="t"/>
        </w:pict>
      </w:r>
    </w:p>
    <w:bookmarkEnd w:id="11"/>
    <w:bookmarkStart w:id="12" w:name="X968131667ec995e8aa45315b703bf3d1bfd2716"/>
    <w:p>
      <w:pPr>
        <w:pStyle w:val="Heading2"/>
      </w:pPr>
      <w:r>
        <w:t xml:space="preserve">The five things that will actually move the stock</w:t>
      </w:r>
    </w:p>
    <w:p>
      <w:pPr>
        <w:pStyle w:val="FirstParagraph"/>
      </w:pPr>
      <w:r>
        <w:rPr>
          <w:b/>
          <w:bCs/>
        </w:rPr>
        <w:t xml:space="preserve">1. Client cash and NIM — the swing factor.</w:t>
      </w:r>
      <w:r>
        <w:t xml:space="preserve"> </w:t>
      </w:r>
      <w:r>
        <w:t xml:space="preserve">This is the most important line. Q1 sweep cash ended at a strong $461.5B, but CFO Mike Verdeschi flagged the</w:t>
      </w:r>
      <w:r>
        <w:t xml:space="preserve"> </w:t>
      </w:r>
      <w:r>
        <w:rPr>
          <w:b/>
          <w:bCs/>
        </w:rPr>
        <w:t xml:space="preserve">typical seasonal Q2 drawdown from April tax payments</w:t>
      </w:r>
      <w:r>
        <w:t xml:space="preserve">, hitting both sweep cash and money market funds. Watch whether organic-growth-driven cash inflows offset that seasonal bleed, and where NIM lands versus the ~2.88% Q1 level. The key positive: the January full-year scenario assumed</w:t>
      </w:r>
      <w:r>
        <w:t xml:space="preserve"> </w:t>
      </w:r>
      <w:r>
        <w:rPr>
          <w:b/>
          <w:bCs/>
        </w:rPr>
        <w:t xml:space="preserve">two rate cuts (June/September)</w:t>
      </w:r>
      <w:r>
        <w:t xml:space="preserve">; the forward curve has since shifted toward</w:t>
      </w:r>
      <w:r>
        <w:t xml:space="preserve"> </w:t>
      </w:r>
      <w:r>
        <w:rPr>
          <w:b/>
          <w:bCs/>
        </w:rPr>
        <w:t xml:space="preserve">fewer or no cuts</w:t>
      </w:r>
      <w:r>
        <w:t xml:space="preserve">, which management called "more favorable" for NIM and IEA growth.</w:t>
      </w:r>
    </w:p>
    <w:p>
      <w:pPr>
        <w:pStyle w:val="BodyText"/>
      </w:pPr>
      <w:r>
        <w:rPr>
          <w:b/>
          <w:bCs/>
        </w:rPr>
        <w:t xml:space="preserve">2. The full-year 2026 scenario refresh — likely raised.</w:t>
      </w:r>
      <w:r>
        <w:t xml:space="preserve"> </w:t>
      </w:r>
      <w:r>
        <w:t xml:space="preserve">Management explicitly said in April it was</w:t>
      </w:r>
      <w:r>
        <w:t xml:space="preserve"> </w:t>
      </w:r>
      <w:r>
        <w:rPr>
          <w:b/>
          <w:bCs/>
        </w:rPr>
        <w:t xml:space="preserve">tracking above the</w:t>
      </w:r>
      <w:r>
        <w:rPr>
          <w:b/>
          <w:bCs/>
        </w:rPr>
        <w:t xml:space="preserve"> </w:t>
      </w:r>
      <m:oMath>
        <m:r>
          <m:t>5.70</m:t>
        </m:r>
        <m:r>
          <m:rPr>
            <m:sty m:val="p"/>
          </m:rPr>
          <m:t>–</m:t>
        </m:r>
      </m:oMath>
      <w:r>
        <w:rPr>
          <w:b/>
          <w:bCs/>
        </w:rPr>
        <w:t xml:space="preserve">5.80 EPS range</w:t>
      </w:r>
      <w:r>
        <w:t xml:space="preserve"> </w:t>
      </w:r>
      <w:r>
        <w:t xml:space="preserve">implied by the January scenario (which excluded buybacks and Forge), and promised a comprehensive update</w:t>
      </w:r>
      <w:r>
        <w:t xml:space="preserve"> </w:t>
      </w:r>
      <w:r>
        <w:rPr>
          <w:i/>
          <w:iCs/>
        </w:rPr>
        <w:t xml:space="preserve">this</w:t>
      </w:r>
      <w:r>
        <w:t xml:space="preserve"> </w:t>
      </w:r>
      <w:r>
        <w:t xml:space="preserve">quarter. A visible raise would be the cleanest catalyst.</w:t>
      </w:r>
    </w:p>
    <w:p>
      <w:pPr>
        <w:pStyle w:val="BodyText"/>
      </w:pPr>
      <w:r>
        <w:rPr>
          <w:b/>
          <w:bCs/>
        </w:rPr>
        <w:t xml:space="preserve">3. Trading revenue mix.</w:t>
      </w:r>
      <w:r>
        <w:t xml:space="preserve"> </w:t>
      </w:r>
      <w:r>
        <w:t xml:space="preserve">Trading has been a standout (record 9.9M DATs in Q1), but</w:t>
      </w:r>
      <w:r>
        <w:t xml:space="preserve"> </w:t>
      </w:r>
      <w:r>
        <w:rPr>
          <w:b/>
          <w:bCs/>
        </w:rPr>
        <w:t xml:space="preserve">revenue per trade fell to $1.80</w:t>
      </w:r>
      <w:r>
        <w:t xml:space="preserve"> </w:t>
      </w:r>
      <w:r>
        <w:t xml:space="preserve">as traders take smaller, shorter-duration positions and skew toward equities over derivatives in volatile tape. Expect the volume-vs.-RPT tension to persist: more prints, lower yield each. Also watch derivative mix (~20% of trades) and any early color on 24/7 trading and the newly launched spot crypto offering (BTC/ETH at 75 bps).</w:t>
      </w:r>
    </w:p>
    <w:p>
      <w:pPr>
        <w:pStyle w:val="BodyText"/>
      </w:pPr>
      <w:r>
        <w:rPr>
          <w:b/>
          <w:bCs/>
        </w:rPr>
        <w:t xml:space="preserve">4. Asset gathering &amp; "deepening."</w:t>
      </w:r>
      <w:r>
        <w:t xml:space="preserve"> </w:t>
      </w:r>
      <w:r>
        <w:t xml:space="preserve">Core NNA momentum (Advisor Services has been outgrowing Investor Services; Managed Investing net flows +46% in Q1, led by Schwab Wealth Advisory +90%) is the through-line of the bull case. Bank lending (pledged asset line / new structured asset line) and margin balances are the deepening levers. Any deceleration in NNA or lending would matter.</w:t>
      </w:r>
    </w:p>
    <w:p>
      <w:pPr>
        <w:pStyle w:val="BodyText"/>
      </w:pPr>
      <w:r>
        <w:rPr>
          <w:b/>
          <w:bCs/>
        </w:rPr>
        <w:t xml:space="preserve">5. The AI / cash-monetization overhang.</w:t>
      </w:r>
      <w:r>
        <w:t xml:space="preserve"> </w:t>
      </w:r>
      <w:r>
        <w:t xml:space="preserve">CEO Rick Wurster has been explicit that an AI narrative — first tax-planning software, more recently a "cash optimizer" fear (heightened by a JPMorgan product) — has been</w:t>
      </w:r>
      <w:r>
        <w:t xml:space="preserve"> </w:t>
      </w:r>
      <w:r>
        <w:rPr>
          <w:i/>
          <w:iCs/>
        </w:rPr>
        <w:t xml:space="preserve">"a significant overhang for our stock and detached our stock from our fundamentals."</w:t>
      </w:r>
      <w:r>
        <w:t xml:space="preserve"> </w:t>
      </w:r>
      <w:r>
        <w:t xml:space="preserve">Management's rebuttal: cash is already ~10% of client assets / ~4% transactional (~$10k/account), clients actively allocate it, and Schwab has "no plans" for a cash optimizer, plus many alternative monetization levers (ETF platform fees targeted to go live by year-end, wealth, lending, agentic AI advisory offers). Expect this to dominate Q&amp;A again.</w:t>
      </w:r>
    </w:p>
    <w:p>
      <w:r>
        <w:pict>
          <v:rect style="width:0;height:1.5pt" o:hralign="center" o:hrstd="t" o:hr="t"/>
        </w:pict>
      </w:r>
    </w:p>
    <w:bookmarkEnd w:id="12"/>
    <w:bookmarkStart w:id="13" w:name="capital--balance-sheet"/>
    <w:p>
      <w:pPr>
        <w:pStyle w:val="Heading2"/>
      </w:pPr>
      <w:r>
        <w:t xml:space="preserve">Capital &amp; balance sheet</w:t>
      </w:r>
    </w:p>
    <w:p>
      <w:pPr>
        <w:pStyle w:val="Compact"/>
        <w:numPr>
          <w:ilvl w:val="0"/>
          <w:numId w:val="1002"/>
        </w:numPr>
      </w:pPr>
      <w:r>
        <w:t xml:space="preserve">Adjusted Tier 1 leverage ended Q1 at</w:t>
      </w:r>
      <w:r>
        <w:t xml:space="preserve"> </w:t>
      </w:r>
      <w:r>
        <w:rPr>
          <w:b/>
          <w:bCs/>
        </w:rPr>
        <w:t xml:space="preserve">6.8%</w:t>
      </w:r>
      <w:r>
        <w:t xml:space="preserve">, inside the 6.75%–7.00% target range — supportive of continued buybacks alongside balance-sheet growth.</w:t>
      </w:r>
    </w:p>
    <w:p>
      <w:pPr>
        <w:pStyle w:val="Compact"/>
        <w:numPr>
          <w:ilvl w:val="0"/>
          <w:numId w:val="1002"/>
        </w:numPr>
      </w:pPr>
      <w:r>
        <w:t xml:space="preserve">Watch commentary on</w:t>
      </w:r>
      <w:r>
        <w:t xml:space="preserve"> </w:t>
      </w:r>
      <w:r>
        <w:rPr>
          <w:b/>
          <w:bCs/>
        </w:rPr>
        <w:t xml:space="preserve">preferred stock</w:t>
      </w:r>
      <w:r>
        <w:t xml:space="preserve"> </w:t>
      </w:r>
      <w:r>
        <w:t xml:space="preserve">becoming redeemable this year (redeem/replace decision) and the pace of buybacks after three consecutive strong quarters.</w:t>
      </w:r>
    </w:p>
    <w:p>
      <w:pPr>
        <w:pStyle w:val="Compact"/>
        <w:numPr>
          <w:ilvl w:val="0"/>
          <w:numId w:val="1002"/>
        </w:numPr>
      </w:pPr>
      <w:r>
        <w:t xml:space="preserve">Schwab issued $1B of senior notes in late June 2026 — a minor funding-management item.</w:t>
      </w:r>
    </w:p>
    <w:p>
      <w:r>
        <w:pict>
          <v:rect style="width:0;height:1.5pt" o:hralign="center" o:hrstd="t" o:hr="t"/>
        </w:pict>
      </w:r>
    </w:p>
    <w:bookmarkEnd w:id="13"/>
    <w:bookmarkStart w:id="14" w:name="stock-context"/>
    <w:p>
      <w:pPr>
        <w:pStyle w:val="Heading2"/>
      </w:pPr>
      <w:r>
        <w:t xml:space="preserve">Stock context</w:t>
      </w:r>
    </w:p>
    <w:p>
      <w:pPr>
        <w:pStyle w:val="FirstParagraph"/>
      </w:pPr>
      <w:r>
        <w:t xml:space="preserve">SCHW opened 2026 near</w:t>
      </w:r>
      <w:r>
        <w:t xml:space="preserve"> </w:t>
      </w:r>
      <m:oMath>
        <m:r>
          <m:t>101</m:t>
        </m:r>
        <m:r>
          <m:rPr>
            <m:sty m:val="p"/>
          </m:rPr>
          <m:t>–</m:t>
        </m:r>
        <m:r>
          <m:t>102</m:t>
        </m:r>
        <m:r>
          <m:rPr>
            <m:sty m:val="p"/>
          </m:rPr>
          <m:t>,</m:t>
        </m:r>
        <m:r>
          <m:t>s</m:t>
        </m:r>
        <m:r>
          <m:t>o</m:t>
        </m:r>
        <m:r>
          <m:t>l</m:t>
        </m:r>
        <m:r>
          <m:t>d</m:t>
        </m:r>
        <m:r>
          <m:t>o</m:t>
        </m:r>
        <m:r>
          <m:t>f</m:t>
        </m:r>
        <m:r>
          <m:t>f</m:t>
        </m:r>
        <m:r>
          <m:t>t</m:t>
        </m:r>
        <m:r>
          <m:t>o</m:t>
        </m:r>
        <m:r>
          <m:t>t</m:t>
        </m:r>
        <m:r>
          <m:t>h</m:t>
        </m:r>
        <m:r>
          <m:t>e</m:t>
        </m:r>
        <m:r>
          <m:rPr>
            <m:sty m:val="p"/>
          </m:rPr>
          <m:t>*</m:t>
        </m:r>
        <m:r>
          <m:rPr>
            <m:sty m:val="p"/>
          </m:rPr>
          <m:t>*</m:t>
        </m:r>
        <m:r>
          <m:t>m</m:t>
        </m:r>
        <m:r>
          <m:t>i</m:t>
        </m:r>
        <m:r>
          <m:t>d</m:t>
        </m:r>
        <m:r>
          <m:rPr>
            <m:sty m:val="p"/>
          </m:rPr>
          <m:t>−</m:t>
        </m:r>
      </m:oMath>
      <w:r>
        <w:t xml:space="preserve">80s by late May** as the AI/cash fears peaked, then recovered through June–July back to ~$102–103 — essentially</w:t>
      </w:r>
      <w:r>
        <w:t xml:space="preserve"> </w:t>
      </w:r>
      <w:r>
        <w:rPr>
          <w:b/>
          <w:bCs/>
        </w:rPr>
        <w:t xml:space="preserve">flat YTD</w:t>
      </w:r>
      <w:r>
        <w:t xml:space="preserve"> </w:t>
      </w:r>
      <w:r>
        <w:t xml:space="preserve">but with a sharp V. That means expectations are constructive again but not euphoric; the risk is that a solid-but-in-line quarter fails to satisfy after the recovery, while the reward case is a raised outlook plus reassurance on cash that finally lets fundamentals lead.</w:t>
      </w:r>
    </w:p>
    <w:p>
      <w:r>
        <w:pict>
          <v:rect style="width:0;height:1.5pt" o:hralign="center" o:hrstd="t" o:hr="t"/>
        </w:pict>
      </w:r>
    </w:p>
    <w:bookmarkEnd w:id="14"/>
    <w:bookmarkStart w:id="15" w:name="bottom-line"/>
    <w:p>
      <w:pPr>
        <w:pStyle w:val="Heading2"/>
      </w:pPr>
      <w:r>
        <w:t xml:space="preserve">Bottom line</w:t>
      </w:r>
    </w:p>
    <w:p>
      <w:pPr>
        <w:pStyle w:val="FirstParagraph"/>
      </w:pPr>
      <w:r>
        <w:t xml:space="preserve">The fundamental story is strong and broad-based: record revenue/EPS, ~19% client-asset growth, accelerating wealth and lending flows, record trading, and 50%+ margins. The debate is not</w:t>
      </w:r>
      <w:r>
        <w:t xml:space="preserve"> </w:t>
      </w:r>
      <w:r>
        <w:rPr>
          <w:i/>
          <w:iCs/>
        </w:rPr>
        <w:t xml:space="preserve">whether</w:t>
      </w:r>
      <w:r>
        <w:t xml:space="preserve"> </w:t>
      </w:r>
      <w:r>
        <w:t xml:space="preserve">Schwab is executing but</w:t>
      </w:r>
      <w:r>
        <w:t xml:space="preserve"> </w:t>
      </w:r>
      <w:r>
        <w:rPr>
          <w:i/>
          <w:iCs/>
        </w:rPr>
        <w:t xml:space="preserve">how much of the earnings power the market will capitalize</w:t>
      </w:r>
      <w:r>
        <w:t xml:space="preserve"> </w:t>
      </w:r>
      <w:r>
        <w:t xml:space="preserve">given the cash/AI overhang.</w:t>
      </w:r>
      <w:r>
        <w:t xml:space="preserve"> </w:t>
      </w:r>
      <w:r>
        <w:rPr>
          <w:b/>
          <w:bCs/>
        </w:rPr>
        <w:t xml:space="preserve">The three highest-value watch items: (1) client cash/NIM through the April tax drawdown, (2) the magnitude of any full-year 2026 EPS guidance raise, and (3) management's framing of cash monetization and alternative revenue levers.</w:t>
      </w:r>
      <w:r>
        <w:t xml:space="preserve"> </w:t>
      </w:r>
      <w:r>
        <w:t xml:space="preserve">A beat plus a raised scenario and steady cash is the setup bulls want; disappointing cash trends or a cautious outlook would revive the overhang.</w:t>
      </w:r>
    </w:p>
    <w:p>
      <w:pPr>
        <w:pStyle w:val="BodyText"/>
      </w:pPr>
      <w:r>
        <w:rPr>
          <w:i/>
          <w:iCs/>
        </w:rPr>
        <w:t xml:space="preserve">Note: figures are drawn from Schwab's 1Q26 and 2Q25 earnings releases/transcripts, the May 2026 Investor Day, and pre-earnings press coverage; consensus estimates vary by source (~</w:t>
      </w:r>
      <m:oMath>
        <m:r>
          <m:t>1.51</m:t>
        </m:r>
        <m:r>
          <m:rPr>
            <m:sty m:val="p"/>
          </m:rPr>
          <m:t>–</m:t>
        </m:r>
      </m:oMath>
      <w:r>
        <w:rPr>
          <w:i/>
          <w:iCs/>
        </w:rPr>
        <w:t xml:space="preserve">1.56 EPS).</w:t>
      </w:r>
    </w:p>
    <w:bookmarkEnd w:id="1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2026-07-21T00:23:06Z</dcterms:created>
  <dcterms:modified xsi:type="dcterms:W3CDTF">2026-07-21T00:23:06Z</dcterms:modified>
</cp:coreProperties>
</file>

<file path=docProps/custom.xml><?xml version="1.0" encoding="utf-8"?>
<Properties xmlns="http://schemas.openxmlformats.org/officeDocument/2006/custom-properties" xmlns:vt="http://schemas.openxmlformats.org/officeDocument/2006/docPropsVTypes"/>
</file>