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charles-schwab-q2-2026-earnings-preview"/>
    <w:p>
      <w:pPr>
        <w:pStyle w:val="Heading1"/>
      </w:pPr>
      <w:r>
        <w:t xml:space="preserve">Charles Schwab Q2 2026 Earnings Preview</w:t>
      </w:r>
    </w:p>
    <w:p>
      <w:pPr>
        <w:pStyle w:val="BlockText"/>
      </w:pPr>
      <w:r>
        <w:rPr>
          <w:b/>
          <w:bCs/>
        </w:rPr>
        <w:t xml:space="preserve">Scheduling note:</w:t>
      </w:r>
      <w:r>
        <w:t xml:space="preserve"> </w:t>
      </w:r>
      <w:r>
        <w:t xml:space="preserve">Schwab’s official investor-relations calendar lists the Q2 financial report and Summer Business Update for</w:t>
      </w:r>
      <w:r>
        <w:t xml:space="preserve"> </w:t>
      </w:r>
      <w:r>
        <w:rPr>
          <w:b/>
          <w:bCs/>
        </w:rPr>
        <w:t xml:space="preserve">Tuesday, July 21, 2026—today, not tomorrow</w:t>
      </w:r>
      <w:r>
        <w:t xml:space="preserve">. This preview reflects information available before the release. (</w:t>
      </w:r>
      <w:hyperlink r:id="rId9">
        <w:r>
          <w:rPr>
            <w:rStyle w:val="Hyperlink"/>
          </w:rPr>
          <w:t xml:space="preserve">aboutschwab.com</w:t>
        </w:r>
      </w:hyperlink>
      <w:r>
        <w:t xml:space="preserve">)</w:t>
      </w:r>
    </w:p>
    <w:bookmarkStart w:id="11" w:name="investment-view-going-into-the-print"/>
    <w:p>
      <w:pPr>
        <w:pStyle w:val="Heading2"/>
      </w:pPr>
      <w:r>
        <w:t xml:space="preserve">Investment view going into the print</w:t>
      </w:r>
    </w:p>
    <w:p>
      <w:pPr>
        <w:pStyle w:val="FirstParagraph"/>
      </w:pPr>
      <w:r>
        <w:t xml:space="preserve">Schwab should report another strong quarter, supported by exceptional trading activity, rapidly expanding margin balances, higher client assets, stable-to-rising transactional cash, and continued operating leverage.</w:t>
      </w:r>
    </w:p>
    <w:p>
      <w:pPr>
        <w:pStyle w:val="BodyText"/>
      </w:pPr>
      <w:r>
        <w:t xml:space="preserve">The issue is the</w:t>
      </w:r>
      <w:r>
        <w:t xml:space="preserve"> </w:t>
      </w:r>
      <w:r>
        <w:rPr>
          <w:b/>
          <w:bCs/>
        </w:rPr>
        <w:t xml:space="preserve">height of the bar</w:t>
      </w:r>
      <w:r>
        <w:t xml:space="preserve">. Current estimates cluster around</w:t>
      </w:r>
      <w:r>
        <w:t xml:space="preserve"> </w:t>
      </w:r>
      <m:oMath>
        <m:r>
          <m:t>1.51</m:t>
        </m:r>
        <m:r>
          <m:rPr>
            <m:sty m:val="p"/>
          </m:rPr>
          <m:t>–</m:t>
        </m:r>
      </m:oMath>
      <w:r>
        <w:rPr>
          <w:b/>
          <w:bCs/>
        </w:rPr>
        <w:t xml:space="preserve">1.57 of adjusted EPS and</w:t>
      </w:r>
      <w:r>
        <w:rPr>
          <w:b/>
          <w:bCs/>
        </w:rPr>
        <w:t xml:space="preserve"> </w:t>
      </w:r>
      <m:oMath>
        <m:r>
          <m:t>6.8</m:t>
        </m:r>
        <m:r>
          <m:rPr>
            <m:sty m:val="p"/>
          </m:rPr>
          <m:t>–</m:t>
        </m:r>
      </m:oMath>
      <w:r>
        <w:rPr>
          <w:b/>
          <w:bCs/>
        </w:rPr>
        <w:t xml:space="preserve">6.9 billion of revenue</w:t>
      </w:r>
      <w:r>
        <w:t xml:space="preserve">, versus $1.14 and $5.85 billion, respectively, in Q2 2025. Management’s May scenario already called for Q2 revenue growth of 16%–17% and adjusted expense growth of 10.5%–11.5%. (</w:t>
      </w:r>
      <w:hyperlink r:id="rId10">
        <w:r>
          <w:rPr>
            <w:rStyle w:val="Hyperlink"/>
          </w:rPr>
          <w:t xml:space="preserve">tipranks.com</w:t>
        </w:r>
      </w:hyperlink>
      <w:r>
        <w:t xml:space="preserve">)</w:t>
      </w:r>
    </w:p>
    <w:p>
      <w:pPr>
        <w:pStyle w:val="BodyText"/>
      </w:pPr>
      <w:r>
        <w:t xml:space="preserve">The most consequential information will therefore be: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Net interest margin and cash trends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trading strength is sustainable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June net new assets and margin balances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Full-year guidance revisions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Expense discipline and capital return</w:t>
      </w:r>
    </w:p>
    <w:p>
      <w:pPr>
        <w:pStyle w:val="FirstParagraph"/>
      </w:pPr>
      <w:r>
        <w:t xml:space="preserve">A headline EPS beat driven entirely by trading may not be enough. The strongest outcome would combine a beat with better net-interest-revenue guidance and evidence that transactional cash remains durable.</w:t>
      </w:r>
    </w:p>
    <w:p>
      <w:r>
        <w:pict>
          <v:rect style="width:0;height:1.5pt" o:hralign="center" o:hrstd="t" o:hr="t"/>
        </w:pict>
      </w:r>
    </w:p>
    <w:bookmarkEnd w:id="11"/>
    <w:bookmarkStart w:id="19" w:name="X65a5b47d0d14d35abf72764907a0d8c2ce4d9cf"/>
    <w:p>
      <w:pPr>
        <w:pStyle w:val="Heading2"/>
      </w:pPr>
      <w:r>
        <w:t xml:space="preserve">The setup: visible Q2 indicators were unusually strong</w:t>
      </w:r>
    </w:p>
    <w:bookmarkStart w:id="14" w:name="X4d49f8486076ba04a9c5f9843057e03a856ba32"/>
    <w:p>
      <w:pPr>
        <w:pStyle w:val="Heading3"/>
      </w:pPr>
      <w:r>
        <w:t xml:space="preserve">1. Trading revenue should be a major positive</w:t>
      </w:r>
    </w:p>
    <w:p>
      <w:pPr>
        <w:pStyle w:val="FirstParagraph"/>
      </w:pPr>
      <w:r>
        <w:t xml:space="preserve">Daily average trades reached a record</w:t>
      </w:r>
      <w:r>
        <w:t xml:space="preserve"> </w:t>
      </w:r>
      <w:r>
        <w:rPr>
          <w:b/>
          <w:bCs/>
        </w:rPr>
        <w:t xml:space="preserve">10.3 million in April</w:t>
      </w:r>
      <w:r>
        <w:t xml:space="preserve"> </w:t>
      </w:r>
      <w:r>
        <w:t xml:space="preserve">and then rose to another record of</w:t>
      </w:r>
      <w:r>
        <w:t xml:space="preserve"> </w:t>
      </w:r>
      <w:r>
        <w:rPr>
          <w:b/>
          <w:bCs/>
        </w:rPr>
        <w:t xml:space="preserve">11.8 million in May</w:t>
      </w:r>
      <w:r>
        <w:t xml:space="preserve">. By comparison, Q1 averaged 9.9 million. Schwab’s June STAX measure also increased to a four-year high of 59.12, indicating continued retail engagement into quarter-end. (</w:t>
      </w:r>
      <w:hyperlink r:id="rId12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p>
      <w:pPr>
        <w:pStyle w:val="BodyText"/>
      </w:pPr>
      <w:r>
        <w:t xml:space="preserve">This makes management’s May full-year assumption of approximately</w:t>
      </w:r>
      <w:r>
        <w:t xml:space="preserve"> </w:t>
      </w:r>
      <w:r>
        <w:rPr>
          <w:b/>
          <w:bCs/>
        </w:rPr>
        <w:t xml:space="preserve">8.7 million daily average trades</w:t>
      </w:r>
      <w:r>
        <w:t xml:space="preserve"> </w:t>
      </w:r>
      <w:r>
        <w:t xml:space="preserve">look conservative. It also creates upside to trading revenue, although revenue per trade may decline as incremental volume skews toward lower-monetization equity and ETF transactions. (</w:t>
      </w:r>
      <w:hyperlink r:id="rId13">
        <w:r>
          <w:rPr>
            <w:rStyle w:val="Hyperlink"/>
          </w:rPr>
          <w:t xml:space="preserve">content.schwab.com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What matters on the call:</w:t>
      </w:r>
    </w:p>
    <w:p>
      <w:pPr>
        <w:pStyle w:val="Compact"/>
        <w:numPr>
          <w:ilvl w:val="0"/>
          <w:numId w:val="1002"/>
        </w:numPr>
      </w:pPr>
      <w:r>
        <w:t xml:space="preserve">June daily average trades and total Q2 average</w:t>
      </w:r>
    </w:p>
    <w:p>
      <w:pPr>
        <w:pStyle w:val="Compact"/>
        <w:numPr>
          <w:ilvl w:val="0"/>
          <w:numId w:val="1002"/>
        </w:numPr>
      </w:pPr>
      <w:r>
        <w:t xml:space="preserve">Options and derivatives mix</w:t>
      </w:r>
    </w:p>
    <w:p>
      <w:pPr>
        <w:pStyle w:val="Compact"/>
        <w:numPr>
          <w:ilvl w:val="0"/>
          <w:numId w:val="1002"/>
        </w:numPr>
      </w:pPr>
      <w:r>
        <w:t xml:space="preserve">Revenue per trade</w:t>
      </w:r>
    </w:p>
    <w:p>
      <w:pPr>
        <w:pStyle w:val="Compact"/>
        <w:numPr>
          <w:ilvl w:val="0"/>
          <w:numId w:val="1002"/>
        </w:numPr>
      </w:pPr>
      <w:r>
        <w:t xml:space="preserve">Early contribution from spot crypto</w:t>
      </w:r>
    </w:p>
    <w:p>
      <w:pPr>
        <w:pStyle w:val="Compact"/>
        <w:numPr>
          <w:ilvl w:val="0"/>
          <w:numId w:val="1002"/>
        </w:numPr>
      </w:pPr>
      <w:r>
        <w:t xml:space="preserve">Management’s view of structural versus volatility-driven activity</w:t>
      </w:r>
    </w:p>
    <w:bookmarkEnd w:id="14"/>
    <w:bookmarkStart w:id="16" w:name="X46b55b50bad08b9168fb3f35fead9ab25881b28"/>
    <w:p>
      <w:pPr>
        <w:pStyle w:val="Heading3"/>
      </w:pPr>
      <w:r>
        <w:t xml:space="preserve">2. Margin lending has accelerated sharply</w:t>
      </w:r>
    </w:p>
    <w:p>
      <w:pPr>
        <w:pStyle w:val="FirstParagraph"/>
      </w:pPr>
      <w:r>
        <w:t xml:space="preserve">Client margin balances rose from</w:t>
      </w:r>
      <w:r>
        <w:t xml:space="preserve"> </w:t>
      </w:r>
      <m:oMath>
        <m:r>
          <m:t>126.7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136.0 billion in April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$154.6 billion in May</w:t>
      </w:r>
      <w:r>
        <w:t xml:space="preserve">. The May balance was 38% above year-end, with $37.4 billion associated with long/short strategies. (</w:t>
      </w:r>
      <w:hyperlink r:id="rId15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p>
      <w:pPr>
        <w:pStyle w:val="BodyText"/>
      </w:pPr>
      <w:r>
        <w:t xml:space="preserve">This is important beyond trading commissions. Higher margin loans, securities lending and long/short activity should support net interest revenue and make the earnings mix somewhat less dependent on cash-sweep spreads.</w:t>
      </w:r>
    </w:p>
    <w:p>
      <w:pPr>
        <w:pStyle w:val="BodyText"/>
      </w:pPr>
      <w:r>
        <w:t xml:space="preserve">Investors should nevertheless distinguish between:</w:t>
      </w:r>
    </w:p>
    <w:p>
      <w:pPr>
        <w:pStyle w:val="Compact"/>
        <w:numPr>
          <w:ilvl w:val="0"/>
          <w:numId w:val="1003"/>
        </w:numPr>
      </w:pPr>
      <w:r>
        <w:t xml:space="preserve">Traditional client margin lending</w:t>
      </w:r>
    </w:p>
    <w:p>
      <w:pPr>
        <w:pStyle w:val="Compact"/>
        <w:numPr>
          <w:ilvl w:val="0"/>
          <w:numId w:val="1003"/>
        </w:numPr>
      </w:pPr>
      <w:r>
        <w:t xml:space="preserve">Fixed-net-yield long/short balances</w:t>
      </w:r>
    </w:p>
    <w:p>
      <w:pPr>
        <w:pStyle w:val="Compact"/>
        <w:numPr>
          <w:ilvl w:val="0"/>
          <w:numId w:val="1003"/>
        </w:numPr>
      </w:pPr>
      <w:r>
        <w:t xml:space="preserve">The associated short-credit funding</w:t>
      </w:r>
    </w:p>
    <w:p>
      <w:pPr>
        <w:pStyle w:val="Compact"/>
        <w:numPr>
          <w:ilvl w:val="0"/>
          <w:numId w:val="1003"/>
        </w:numPr>
      </w:pPr>
      <w:r>
        <w:t xml:space="preserve">Sustainable spread income versus activity-driven balances</w:t>
      </w:r>
    </w:p>
    <w:bookmarkEnd w:id="16"/>
    <w:bookmarkStart w:id="18" w:name="Xaaa747e7669afa8b95f6e5b8ab9073da49780cb"/>
    <w:p>
      <w:pPr>
        <w:pStyle w:val="Heading3"/>
      </w:pPr>
      <w:r>
        <w:t xml:space="preserve">3. Cash trends were better than the prevailing bear case</w:t>
      </w:r>
    </w:p>
    <w:p>
      <w:pPr>
        <w:pStyle w:val="FirstParagraph"/>
      </w:pPr>
      <w:r>
        <w:t xml:space="preserve">Transactional sweep cash increased from</w:t>
      </w:r>
      <w:r>
        <w:t xml:space="preserve"> </w:t>
      </w:r>
      <w:r>
        <w:rPr>
          <w:b/>
          <w:bCs/>
        </w:rPr>
        <w:t xml:space="preserve">$461.5 billion in March</w:t>
      </w:r>
      <w:r>
        <w:t xml:space="preserve"> </w:t>
      </w:r>
      <w:r>
        <w:t xml:space="preserve">to $467.6 billion in April and $472.4 billion in May. Average interest-earning assets rose to $444.6 billion in April before easing modestly to $442.0 billion in May, still 6% above the prior-year level. (</w:t>
      </w:r>
      <w:hyperlink r:id="rId15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p>
      <w:pPr>
        <w:pStyle w:val="BodyText"/>
      </w:pPr>
      <w:r>
        <w:t xml:space="preserve">That matters because one of the central concerns around Schwab remains whether clients—or third-party “cash optimizer” tools—will increasingly move low-yield transactional balances into money-market funds and other higher-yielding alternatives. The reported data through May do not show renewed balance-sheet cash pressure.</w:t>
      </w:r>
    </w:p>
    <w:p>
      <w:pPr>
        <w:pStyle w:val="BodyText"/>
      </w:pPr>
      <w:r>
        <w:t xml:space="preserve">However, client cash fell from 9.9% of client assets in March to 8.9% in May, partly reflecting higher equity markets and total client assets. Investors should focus on the</w:t>
      </w:r>
      <w:r>
        <w:t xml:space="preserve"> </w:t>
      </w:r>
      <w:r>
        <w:rPr>
          <w:b/>
          <w:bCs/>
        </w:rPr>
        <w:t xml:space="preserve">absolute sweep balance and average interest-earning assets</w:t>
      </w:r>
      <w:r>
        <w:t xml:space="preserve">, not only the cash-to-assets ratio. (</w:t>
      </w:r>
      <w:hyperlink r:id="rId17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Xe61e5e58cbc7f23de3d7bb0911b866a02f86db8"/>
    <w:p>
      <w:pPr>
        <w:pStyle w:val="Heading2"/>
      </w:pPr>
      <w:r>
        <w:t xml:space="preserve">Net interest margin is the key earnings-quality test</w:t>
      </w:r>
    </w:p>
    <w:p>
      <w:pPr>
        <w:pStyle w:val="FirstParagraph"/>
      </w:pPr>
      <w:r>
        <w:t xml:space="preserve">Q1 net interest margin was</w:t>
      </w:r>
      <w:r>
        <w:t xml:space="preserve"> </w:t>
      </w:r>
      <w:r>
        <w:rPr>
          <w:b/>
          <w:bCs/>
        </w:rPr>
        <w:t xml:space="preserve">2.88%</w:t>
      </w:r>
      <w:r>
        <w:t xml:space="preserve">, up from 2.53% a year earlier. At Investor Day, Schwab projected: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3.00%–3.10% full-year 2026 NIM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3.25%–3.30% Q4 NIM</w:t>
      </w:r>
    </w:p>
    <w:p>
      <w:pPr>
        <w:pStyle w:val="Compact"/>
        <w:numPr>
          <w:ilvl w:val="0"/>
          <w:numId w:val="1004"/>
        </w:numPr>
      </w:pPr>
      <w:r>
        <w:t xml:space="preserve">Modest full-year growth in average interest-earning assets</w:t>
      </w:r>
    </w:p>
    <w:p>
      <w:pPr>
        <w:pStyle w:val="FirstParagraph"/>
      </w:pPr>
      <w:r>
        <w:t xml:space="preserve">Management also said stronger lending utilization and the absence of expected rate cuts supported this outlook. (</w:t>
      </w:r>
      <w:hyperlink r:id="rId15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bookmarkStart w:id="20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05"/>
        </w:numPr>
      </w:pPr>
      <w:r>
        <w:t xml:space="preserve">Q2 NIM reaches or exceeds approximately 3%</w:t>
      </w:r>
    </w:p>
    <w:p>
      <w:pPr>
        <w:pStyle w:val="Compact"/>
        <w:numPr>
          <w:ilvl w:val="0"/>
          <w:numId w:val="1005"/>
        </w:numPr>
      </w:pPr>
      <w:r>
        <w:t xml:space="preserve">Sweep cash remains around May levels or higher</w:t>
      </w:r>
    </w:p>
    <w:p>
      <w:pPr>
        <w:pStyle w:val="Compact"/>
        <w:numPr>
          <w:ilvl w:val="0"/>
          <w:numId w:val="1005"/>
        </w:numPr>
      </w:pPr>
      <w:r>
        <w:t xml:space="preserve">Management raises the full-year NIM range or moves toward its upper half</w:t>
      </w:r>
    </w:p>
    <w:p>
      <w:pPr>
        <w:pStyle w:val="Compact"/>
        <w:numPr>
          <w:ilvl w:val="0"/>
          <w:numId w:val="1005"/>
        </w:numPr>
      </w:pPr>
      <w:r>
        <w:t xml:space="preserve">Lending growth offsets any mix pressure</w:t>
      </w:r>
    </w:p>
    <w:p>
      <w:pPr>
        <w:pStyle w:val="Compact"/>
        <w:numPr>
          <w:ilvl w:val="0"/>
          <w:numId w:val="1005"/>
        </w:numPr>
      </w:pPr>
      <w:r>
        <w:t xml:space="preserve">Q4 NIM guidance is maintained despite funding costs</w:t>
      </w:r>
    </w:p>
    <w:bookmarkEnd w:id="20"/>
    <w:bookmarkStart w:id="21" w:name="disappointing-outcome"/>
    <w:p>
      <w:pPr>
        <w:pStyle w:val="Heading3"/>
      </w:pPr>
      <w:r>
        <w:t xml:space="preserve">Disappointing outcome</w:t>
      </w:r>
    </w:p>
    <w:p>
      <w:pPr>
        <w:pStyle w:val="Compact"/>
        <w:numPr>
          <w:ilvl w:val="0"/>
          <w:numId w:val="1006"/>
        </w:numPr>
      </w:pPr>
      <w:r>
        <w:t xml:space="preserve">NIM remains below 3%</w:t>
      </w:r>
    </w:p>
    <w:p>
      <w:pPr>
        <w:pStyle w:val="Compact"/>
        <w:numPr>
          <w:ilvl w:val="0"/>
          <w:numId w:val="1006"/>
        </w:numPr>
      </w:pPr>
      <w:r>
        <w:t xml:space="preserve">June shows renewed cash sorting</w:t>
      </w:r>
    </w:p>
    <w:p>
      <w:pPr>
        <w:pStyle w:val="Compact"/>
        <w:numPr>
          <w:ilvl w:val="0"/>
          <w:numId w:val="1006"/>
        </w:numPr>
      </w:pPr>
      <w:r>
        <w:t xml:space="preserve">Average interest-earning assets fall materially</w:t>
      </w:r>
    </w:p>
    <w:p>
      <w:pPr>
        <w:pStyle w:val="Compact"/>
        <w:numPr>
          <w:ilvl w:val="0"/>
          <w:numId w:val="1006"/>
        </w:numPr>
      </w:pPr>
      <w:r>
        <w:t xml:space="preserve">Higher wholesale funding costs absorb lending benefits</w:t>
      </w:r>
    </w:p>
    <w:p>
      <w:pPr>
        <w:pStyle w:val="Compact"/>
        <w:numPr>
          <w:ilvl w:val="0"/>
          <w:numId w:val="1006"/>
        </w:numPr>
      </w:pPr>
      <w:r>
        <w:t xml:space="preserve">Management leaves guidance unchanged despite stronger rates and activity</w:t>
      </w:r>
    </w:p>
    <w:p>
      <w:pPr>
        <w:pStyle w:val="FirstParagraph"/>
      </w:pPr>
      <w:r>
        <w:t xml:space="preserve">The latter would suggest the quarter’s upside is predominantly transactional rather than a durable improvement in core earnings power.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organic-growth-june-is-the-missing-piece"/>
    <w:p>
      <w:pPr>
        <w:pStyle w:val="Heading2"/>
      </w:pPr>
      <w:r>
        <w:t xml:space="preserve">Organic growth: June is the missing piece</w:t>
      </w:r>
    </w:p>
    <w:p>
      <w:pPr>
        <w:pStyle w:val="FirstParagraph"/>
      </w:pPr>
      <w:r>
        <w:t xml:space="preserve">April core net new assets were only</w:t>
      </w:r>
      <w:r>
        <w:t xml:space="preserve"> </w:t>
      </w:r>
      <m:oMath>
        <m:r>
          <m:t>7.2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t</m:t>
        </m:r>
        <m:r>
          <m:t>h</m:t>
        </m:r>
        <m:r>
          <m:t>a</m:t>
        </m:r>
        <m:r>
          <m:t>t</m:t>
        </m:r>
        <m:r>
          <m:t>r</m:t>
        </m:r>
        <m:r>
          <m:t>e</m:t>
        </m:r>
        <m:r>
          <m:t>f</m:t>
        </m:r>
        <m:r>
          <m:t>l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n</m:t>
        </m:r>
        <m:r>
          <m:t>o</m:t>
        </m:r>
        <m:r>
          <m:t>r</m:t>
        </m:r>
        <m:r>
          <m:t>m</m:t>
        </m:r>
        <m:r>
          <m:t>a</m:t>
        </m:r>
        <m:r>
          <m:t>l</m:t>
        </m:r>
        <m:r>
          <m:t>t</m:t>
        </m:r>
        <m:r>
          <m:t>a</m:t>
        </m:r>
        <m:r>
          <m:t>x</m:t>
        </m:r>
        <m:r>
          <m:rPr>
            <m:sty m:val="p"/>
          </m:rPr>
          <m:t>−</m:t>
        </m:r>
        <m:r>
          <m:t>r</m:t>
        </m:r>
        <m:r>
          <m:t>e</m:t>
        </m:r>
        <m:r>
          <m:t>l</m:t>
        </m:r>
        <m:r>
          <m:t>a</m:t>
        </m:r>
        <m:r>
          <m:t>t</m:t>
        </m:r>
        <m:r>
          <m:t>e</m:t>
        </m:r>
        <m:r>
          <m:t>d</m:t>
        </m:r>
        <m:r>
          <m:t>c</m:t>
        </m:r>
        <m:r>
          <m:t>l</m:t>
        </m:r>
        <m:r>
          <m:t>i</m:t>
        </m:r>
        <m:r>
          <m:t>e</m:t>
        </m:r>
        <m:r>
          <m:t>n</m:t>
        </m:r>
        <m:r>
          <m:t>t</m:t>
        </m:r>
        <m:r>
          <m:t>d</m:t>
        </m:r>
        <m:r>
          <m:t>i</m:t>
        </m:r>
        <m:r>
          <m:t>s</m:t>
        </m:r>
        <m:r>
          <m:t>b</m:t>
        </m:r>
        <m:r>
          <m:t>u</m:t>
        </m:r>
        <m:r>
          <m:t>r</m:t>
        </m:r>
        <m:r>
          <m:t>s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rPr>
            <m:sty m:val="p"/>
          </m:rPr>
          <m:t>.</m:t>
        </m:r>
        <m:r>
          <m:t>M</m:t>
        </m:r>
        <m:r>
          <m:t>a</m:t>
        </m:r>
        <m:r>
          <m:t>y</m:t>
        </m:r>
        <m:r>
          <m:t>r</m:t>
        </m:r>
        <m:r>
          <m:t>e</m:t>
        </m:r>
        <m:r>
          <m:t>b</m:t>
        </m:r>
        <m:r>
          <m:t>o</m:t>
        </m:r>
        <m:r>
          <m:t>u</m:t>
        </m:r>
        <m:r>
          <m:t>n</m:t>
        </m:r>
        <m:r>
          <m:t>d</m:t>
        </m:r>
        <m:r>
          <m:t>e</m:t>
        </m:r>
        <m:r>
          <m:t>d</m:t>
        </m:r>
        <m:r>
          <m:t>t</m:t>
        </m:r>
        <m:r>
          <m:t>o</m:t>
        </m:r>
        <m:r>
          <m:t>a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rPr>
            <m:sty m:val="p"/>
          </m:rPr>
          <m:t>−</m:t>
        </m:r>
        <m:r>
          <m:t>f</m:t>
        </m:r>
        <m:r>
          <m:t>o</m:t>
        </m:r>
        <m:r>
          <m:t>r</m:t>
        </m:r>
        <m:r>
          <m:rPr>
            <m:sty m:val="p"/>
          </m:rPr>
          <m:t>−</m:t>
        </m:r>
        <m:r>
          <m:t>t</m:t>
        </m:r>
        <m:r>
          <m:t>h</m:t>
        </m:r>
        <m:r>
          <m:t>e</m:t>
        </m:r>
        <m:r>
          <m:rPr>
            <m:sty m:val="p"/>
          </m:rPr>
          <m:t>−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49.9 billion</w:t>
      </w:r>
      <w:r>
        <w:t xml:space="preserve">, leaving April-plus-May core net new assets at $57.1 billion before the unreleased June figure. (</w:t>
      </w:r>
      <w:hyperlink r:id="rId12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p>
      <w:pPr>
        <w:pStyle w:val="BodyText"/>
      </w:pPr>
      <w:r>
        <w:t xml:space="preserve">Total client assets rose from $11.77 trillion at March-end to $12.61 trillion in April and $13.14 trillion in May. Active brokerage accounts reached 39.5 million in May, while May account openings increased 37% year over year to 461,000. (</w:t>
      </w:r>
      <w:hyperlink r:id="rId15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p>
      <w:pPr>
        <w:pStyle w:val="BodyText"/>
      </w:pPr>
      <w:r>
        <w:t xml:space="preserve">The market will likely evaluate June and Q2 flows against management’s approximately</w:t>
      </w:r>
      <w:r>
        <w:t xml:space="preserve"> </w:t>
      </w:r>
      <w:r>
        <w:rPr>
          <w:b/>
          <w:bCs/>
        </w:rPr>
        <w:t xml:space="preserve">5% organic net-asset-growth assumption</w:t>
      </w:r>
      <w:r>
        <w:t xml:space="preserve">. A strong June result would reinforce the argument that Schwab is gaining share across retail and RIA custody; a weak result would raise questions about whether Q1’s $140 billion of core net new assets represented an unusually favorable start to the year. (</w:t>
      </w:r>
      <w:hyperlink r:id="rId15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23"/>
    <w:bookmarkStart w:id="24" w:name="Xc0796f8a4f5fc069892d9de0263487b1002f359"/>
    <w:p>
      <w:pPr>
        <w:pStyle w:val="Heading2"/>
      </w:pPr>
      <w:r>
        <w:t xml:space="preserve">Fee revenue should provide another growth leg</w:t>
      </w:r>
    </w:p>
    <w:p>
      <w:pPr>
        <w:pStyle w:val="FirstParagraph"/>
      </w:pPr>
      <w:r>
        <w:t xml:space="preserve">Q1 asset-management and administration fees rose 15% year over year to $1.76 billion, benefiting from organic growth, market appreciation and stronger use of managed investing. Managed-investing net flows grew 46% year over year. (</w:t>
      </w:r>
      <w:hyperlink r:id="rId15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p>
      <w:pPr>
        <w:pStyle w:val="BodyText"/>
      </w:pPr>
      <w:r>
        <w:t xml:space="preserve">The Q2 setup is constructive:</w:t>
      </w:r>
    </w:p>
    <w:p>
      <w:pPr>
        <w:pStyle w:val="Compact"/>
        <w:numPr>
          <w:ilvl w:val="0"/>
          <w:numId w:val="1007"/>
        </w:numPr>
      </w:pPr>
      <w:r>
        <w:t xml:space="preserve">Total client assets were substantially higher by May.</w:t>
      </w:r>
    </w:p>
    <w:p>
      <w:pPr>
        <w:pStyle w:val="Compact"/>
        <w:numPr>
          <w:ilvl w:val="0"/>
          <w:numId w:val="1007"/>
        </w:numPr>
      </w:pPr>
      <w:r>
        <w:t xml:space="preserve">Assets receiving ongoing advisory services increased across both Investor Services and Advisor Services.</w:t>
      </w:r>
    </w:p>
    <w:p>
      <w:pPr>
        <w:pStyle w:val="Compact"/>
        <w:numPr>
          <w:ilvl w:val="0"/>
          <w:numId w:val="1007"/>
        </w:numPr>
      </w:pPr>
      <w:r>
        <w:t xml:space="preserve">Schwab continues to expand Wealth Advisory, alternatives, lending and private-market capabilities.</w:t>
      </w:r>
    </w:p>
    <w:p>
      <w:pPr>
        <w:pStyle w:val="Compact"/>
        <w:numPr>
          <w:ilvl w:val="0"/>
          <w:numId w:val="1007"/>
        </w:numPr>
      </w:pPr>
      <w:r>
        <w:t xml:space="preserve">ETF platform monetization is expected to begin contributing materially in 2027, making it more relevant to forward commentary than current-quarter results. (</w:t>
      </w:r>
      <w:hyperlink r:id="rId17">
        <w:r>
          <w:rPr>
            <w:rStyle w:val="Hyperlink"/>
          </w:rPr>
          <w:t xml:space="preserve">pressroom.aboutschwab.com</w:t>
        </w:r>
      </w:hyperlink>
      <w:r>
        <w:t xml:space="preserve">)</w:t>
      </w:r>
    </w:p>
    <w:p>
      <w:pPr>
        <w:pStyle w:val="FirstParagraph"/>
      </w:pPr>
      <w:r>
        <w:t xml:space="preserve">Watch whether market appreciation translates efficiently into fee growth and whether management quantifies continued momentum in Schwab Wealth Advisory.</w:t>
      </w:r>
    </w:p>
    <w:p>
      <w:r>
        <w:pict>
          <v:rect style="width:0;height:1.5pt" o:hralign="center" o:hrstd="t" o:hr="t"/>
        </w:pict>
      </w:r>
    </w:p>
    <w:bookmarkEnd w:id="24"/>
    <w:bookmarkStart w:id="25" w:name="expenses-and-operating-leverage"/>
    <w:p>
      <w:pPr>
        <w:pStyle w:val="Heading2"/>
      </w:pPr>
      <w:r>
        <w:t xml:space="preserve">Expenses and operating leverage</w:t>
      </w:r>
    </w:p>
    <w:p>
      <w:pPr>
        <w:pStyle w:val="FirstParagraph"/>
      </w:pPr>
      <w:r>
        <w:t xml:space="preserve">Management’s May scenario anticipated: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May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16.0%–17.0%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adjusted expense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10.5%–11.5%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14.0%–15.0%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adjusted expense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8.5%–9.5%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NIM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3.00%–3.10%</w:t>
            </w:r>
          </w:p>
        </w:tc>
      </w:tr>
    </w:tbl>
    <w:p>
      <w:pPr>
        <w:pStyle w:val="BodyText"/>
      </w:pPr>
      <w:r>
        <w:t xml:space="preserve">The Q2 expense increase includes Forge, higher volume-related costs, performance compensation and the return of SEC Section 31 fees. Management nevertheless expected revenue growth to exceed expense growth meaningfully. (</w:t>
      </w:r>
      <w:hyperlink r:id="rId13">
        <w:r>
          <w:rPr>
            <w:rStyle w:val="Hyperlink"/>
          </w:rPr>
          <w:t xml:space="preserve">content.schwab.com</w:t>
        </w:r>
      </w:hyperlink>
      <w:r>
        <w:t xml:space="preserve">)</w:t>
      </w:r>
    </w:p>
    <w:p>
      <w:pPr>
        <w:pStyle w:val="BodyText"/>
      </w:pPr>
      <w:r>
        <w:t xml:space="preserve">The cleanest positive signal would be</w:t>
      </w:r>
      <w:r>
        <w:t xml:space="preserve"> </w:t>
      </w:r>
      <w:r>
        <w:rPr>
          <w:b/>
          <w:bCs/>
        </w:rPr>
        <w:t xml:space="preserve">higher revenue guidance without a proportional expense increase</w:t>
      </w:r>
      <w:r>
        <w:t xml:space="preserve">. Conversely, an expense-guide increase tied to trading volumes would be understandable, but investors will want confirmation that incremental margins remain attractive.</w:t>
      </w:r>
    </w:p>
    <w:p>
      <w:r>
        <w:pict>
          <v:rect style="width:0;height:1.5pt" o:hralign="center" o:hrstd="t" o:hr="t"/>
        </w:pict>
      </w:r>
    </w:p>
    <w:bookmarkEnd w:id="25"/>
    <w:bookmarkStart w:id="26" w:name="X29c1ecb9d6b30833b3a71b73676d35f18afee83"/>
    <w:p>
      <w:pPr>
        <w:pStyle w:val="Heading2"/>
      </w:pPr>
      <w:r>
        <w:t xml:space="preserve">Guidance is more important than the reported beat</w:t>
      </w:r>
    </w:p>
    <w:p>
      <w:pPr>
        <w:pStyle w:val="FirstParagraph"/>
      </w:pPr>
      <w:r>
        <w:t xml:space="preserve">Schwab’s stock closed at $102.57 on July 20, roughly flat year to date but about 20% above its late-May low. That recovery suggests investors already anticipate a strong report.</w:t>
      </w:r>
    </w:p>
    <w:p>
      <w:pPr>
        <w:pStyle w:val="BodyText"/>
      </w:pPr>
      <w:r>
        <w:t xml:space="preserve">For the shares to respond favorably, management may need to deliver some combination of:</w:t>
      </w:r>
    </w:p>
    <w:p>
      <w:pPr>
        <w:pStyle w:val="Compact"/>
        <w:numPr>
          <w:ilvl w:val="0"/>
          <w:numId w:val="1008"/>
        </w:numPr>
      </w:pPr>
      <w:r>
        <w:t xml:space="preserve">A clear EPS and revenue beat</w:t>
      </w:r>
    </w:p>
    <w:p>
      <w:pPr>
        <w:pStyle w:val="Compact"/>
        <w:numPr>
          <w:ilvl w:val="0"/>
          <w:numId w:val="1008"/>
        </w:numPr>
      </w:pPr>
      <w:r>
        <w:t xml:space="preserve">A higher full-year revenue range</w:t>
      </w:r>
    </w:p>
    <w:p>
      <w:pPr>
        <w:pStyle w:val="Compact"/>
        <w:numPr>
          <w:ilvl w:val="0"/>
          <w:numId w:val="1008"/>
        </w:numPr>
      </w:pPr>
      <w:r>
        <w:t xml:space="preserve">Better NIM guidance</w:t>
      </w:r>
    </w:p>
    <w:p>
      <w:pPr>
        <w:pStyle w:val="Compact"/>
        <w:numPr>
          <w:ilvl w:val="0"/>
          <w:numId w:val="1008"/>
        </w:numPr>
      </w:pPr>
      <w:r>
        <w:t xml:space="preserve">A higher trading-volume assumption</w:t>
      </w:r>
    </w:p>
    <w:p>
      <w:pPr>
        <w:pStyle w:val="Compact"/>
        <w:numPr>
          <w:ilvl w:val="0"/>
          <w:numId w:val="1008"/>
        </w:numPr>
      </w:pPr>
      <w:r>
        <w:t xml:space="preserve">Stable or improving expense leverage</w:t>
      </w:r>
    </w:p>
    <w:p>
      <w:pPr>
        <w:pStyle w:val="Compact"/>
        <w:numPr>
          <w:ilvl w:val="0"/>
          <w:numId w:val="1008"/>
        </w:numPr>
      </w:pPr>
      <w:r>
        <w:t xml:space="preserve">Additional buybacks</w:t>
      </w:r>
    </w:p>
    <w:p>
      <w:pPr>
        <w:pStyle w:val="Compact"/>
        <w:numPr>
          <w:ilvl w:val="0"/>
          <w:numId w:val="1008"/>
        </w:numPr>
      </w:pPr>
      <w:r>
        <w:t xml:space="preserve">Confidence that cash sorting remains contained</w:t>
      </w:r>
    </w:p>
    <w:p>
      <w:pPr>
        <w:pStyle w:val="FirstParagraph"/>
      </w:pPr>
      <w:r>
        <w:t xml:space="preserve">Merely reiterating May guidance after the strength visible in April and May could be interpreted as conservatism—or as evidence that trading upside is being offset elsewhere.</w:t>
      </w:r>
    </w:p>
    <w:p>
      <w:r>
        <w:pict>
          <v:rect style="width:0;height:1.5pt" o:hralign="center" o:hrstd="t" o:hr="t"/>
        </w:pict>
      </w:r>
    </w:p>
    <w:bookmarkEnd w:id="26"/>
    <w:bookmarkStart w:id="27" w:name="key-questions-for-management"/>
    <w:p>
      <w:pPr>
        <w:pStyle w:val="Heading2"/>
      </w:pPr>
      <w:r>
        <w:t xml:space="preserve">Key questions for management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were June daily average trades, margin balances and core net new assets?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How much of Q2 trading growth came from equities versus options and other higher-monetization products?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was Q2 NIM, and is the 3.00%–3.10% full-year range still appropriate?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Did transactional sweep cash continue to grow in June?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How should investors model the spread economics of the growing long/short balances?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the 8.7 million full-year daily-trades assumption now too low?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How much capital remains available for repurchases after funding organic growth and acquisitions?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Schwab seeing any measurable competitive pressure from higher-yield cash sweeps or automated cash-allocation tools?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is the early client response to spot crypto and Forge?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Can full-year revenue guidance rise without a corresponding increase in underlying expense growth?</w:t>
      </w:r>
    </w:p>
    <w:p>
      <w:r>
        <w:pict>
          <v:rect style="width:0;height:1.5pt" o:hralign="center" o:hrstd="t" o:hr="t"/>
        </w:pict>
      </w:r>
    </w:p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operating evidence points toward a strong Q2: record trading, rapidly expanding margin balances, higher client assets and rising transactional sweep cash. The primary risk is not a weak quarter, but that these positives are already reflected in both consensus estimates and the stock’s recovery.</w:t>
      </w:r>
    </w:p>
    <w:p>
      <w:pPr>
        <w:pStyle w:val="BodyText"/>
      </w:pPr>
      <w:r>
        <w:t xml:space="preserve">The best report would demonstrate that Schwab’s earnings improvement is becoming</w:t>
      </w:r>
      <w:r>
        <w:t xml:space="preserve"> </w:t>
      </w:r>
      <w:r>
        <w:rPr>
          <w:b/>
          <w:bCs/>
        </w:rPr>
        <w:t xml:space="preserve">more durable</w:t>
      </w:r>
      <w:r>
        <w:t xml:space="preserve">, with NIM expansion, stable balance-sheet cash, strong organic asset gathering and positive operating leverage alongside elevated trading. A trading-led beat with no improvement in NIM or full-year guidance would be a lower-quality result and could produce a muted share reaction.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https://content.schwab.com/web/retail/public/about-schwab/2026_Institutional_Investor_Day.pdf" TargetMode="External" /><Relationship Type="http://schemas.openxmlformats.org/officeDocument/2006/relationships/hyperlink" Id="rId15" Target="https://pressroom.aboutschwab.com/press-releases/press-release/2026/Client-Growth--Engagement-Drive-Record-Schwab-1Q-Results/default.aspx?sm=uro&amp;utm_source=openai" TargetMode="External" /><Relationship Type="http://schemas.openxmlformats.org/officeDocument/2006/relationships/hyperlink" Id="rId12" Target="https://pressroom.aboutschwab.com/press-releases/press-release/2026/Schwab-Reports-Monthly-Activity-Highlights-82c020dd6/default.aspx" TargetMode="External" /><Relationship Type="http://schemas.openxmlformats.org/officeDocument/2006/relationships/hyperlink" Id="rId17" Target="https://pressroom.aboutschwab.com/press-releases/press-release/2026/Schwab-Reports-Monthly-Activity-Highlights-bd2541dce/default.aspx" TargetMode="External" /><Relationship Type="http://schemas.openxmlformats.org/officeDocument/2006/relationships/hyperlink" Id="rId9" Target="https://www.aboutschwab.com/schwabevents" TargetMode="External" /><Relationship Type="http://schemas.openxmlformats.org/officeDocument/2006/relationships/hyperlink" Id="rId10" Target="https://www.tipranks.com/stocks/schw/earning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content.schwab.com/web/retail/public/about-schwab/2026_Institutional_Investor_Day.pdf" TargetMode="External" /><Relationship Type="http://schemas.openxmlformats.org/officeDocument/2006/relationships/hyperlink" Id="rId15" Target="https://pressroom.aboutschwab.com/press-releases/press-release/2026/Client-Growth--Engagement-Drive-Record-Schwab-1Q-Results/default.aspx?sm=uro&amp;utm_source=openai" TargetMode="External" /><Relationship Type="http://schemas.openxmlformats.org/officeDocument/2006/relationships/hyperlink" Id="rId12" Target="https://pressroom.aboutschwab.com/press-releases/press-release/2026/Schwab-Reports-Monthly-Activity-Highlights-82c020dd6/default.aspx" TargetMode="External" /><Relationship Type="http://schemas.openxmlformats.org/officeDocument/2006/relationships/hyperlink" Id="rId17" Target="https://pressroom.aboutschwab.com/press-releases/press-release/2026/Schwab-Reports-Monthly-Activity-Highlights-bd2541dce/default.aspx" TargetMode="External" /><Relationship Type="http://schemas.openxmlformats.org/officeDocument/2006/relationships/hyperlink" Id="rId9" Target="https://www.aboutschwab.com/schwabevents" TargetMode="External" /><Relationship Type="http://schemas.openxmlformats.org/officeDocument/2006/relationships/hyperlink" Id="rId10" Target="https://www.tipranks.com/stocks/schw/earning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2026-07-21T00:23:37Z</dcterms:created>
  <dcterms:modified xsi:type="dcterms:W3CDTF">2026-07-21T00:23:37Z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