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cb4d8b48c044b852b4012f879b760a8af2374b6"/>
    <w:p>
      <w:pPr>
        <w:pStyle w:val="Heading1"/>
      </w:pPr>
      <w:r>
        <w:t xml:space="preserve">Charles Schwab (NYSE: SCHW) — 2Q26 Earnings Preview</w:t>
      </w:r>
    </w:p>
    <w:p>
      <w:pPr>
        <w:pStyle w:val="BlockText"/>
      </w:pPr>
      <w:r>
        <w:rPr>
          <w:b/>
          <w:bCs/>
        </w:rPr>
        <w:t xml:space="preserve">Date clarification:</w:t>
      </w:r>
      <w:r>
        <w:t xml:space="preserve"> </w:t>
      </w:r>
      <w:r>
        <w:t xml:space="preserve">The stated event date is</w:t>
      </w:r>
      <w:r>
        <w:t xml:space="preserve"> </w:t>
      </w:r>
      <w:r>
        <w:rPr>
          <w:b/>
          <w:bCs/>
        </w:rPr>
        <w:t xml:space="preserve">Tuesday, July 21, 2026</w:t>
      </w:r>
      <w:r>
        <w:t xml:space="preserve">, which is</w:t>
      </w:r>
      <w:r>
        <w:t xml:space="preserve"> </w:t>
      </w:r>
      <w:r>
        <w:rPr>
          <w:b/>
          <w:bCs/>
        </w:rPr>
        <w:t xml:space="preserve">today</w:t>
      </w:r>
      <w:r>
        <w:t xml:space="preserve">, not tomorrow. This preview is therefore framed as a pre-report view ahead of SCHW’s 2Q26 earnings release/call.</w:t>
      </w:r>
    </w:p>
    <w:bookmarkStart w:id="9" w:name="bottom-line"/>
    <w:p>
      <w:pPr>
        <w:pStyle w:val="Heading2"/>
      </w:pPr>
      <w:r>
        <w:t xml:space="preserve">Bottom line</w:t>
      </w:r>
    </w:p>
    <w:p>
      <w:pPr>
        <w:pStyle w:val="FirstParagraph"/>
      </w:pPr>
      <w:r>
        <w:t xml:space="preserve">Schwab enters 2Q with</w:t>
      </w:r>
      <w:r>
        <w:t xml:space="preserve"> </w:t>
      </w:r>
      <w:r>
        <w:rPr>
          <w:b/>
          <w:bCs/>
        </w:rPr>
        <w:t xml:space="preserve">strong operating momentum, a favorable setup for earnings growth, and a stock that has already moved higher into the print</w:t>
      </w:r>
      <w:r>
        <w:t xml:space="preserve">. The central question is unlikely to be whether Schwab grew earnings sharply year over year—it probably did. Instead, the stock’s reaction should turn on whether management can validate that its recent acceleration in</w:t>
      </w:r>
      <w:r>
        <w:t xml:space="preserve"> </w:t>
      </w:r>
      <w:r>
        <w:rPr>
          <w:b/>
          <w:bCs/>
        </w:rPr>
        <w:t xml:space="preserve">net new assets, trading, lending, managed investing, and net interest income</w:t>
      </w:r>
      <w:r>
        <w:t xml:space="preserve"> </w:t>
      </w:r>
      <w:r>
        <w:t xml:space="preserve">is durable, while containing investor concern over the longer-term economics of client cash.</w:t>
      </w:r>
    </w:p>
    <w:p>
      <w:pPr>
        <w:pStyle w:val="BodyText"/>
      </w:pPr>
      <w:r>
        <w:t xml:space="preserve">Available consensus snapshots put 2Q EPS around</w:t>
      </w:r>
      <w:r>
        <w:t xml:space="preserve"> </w:t>
      </w:r>
      <m:oMath>
        <m:r>
          <m:t>1.51</m:t>
        </m:r>
        <m:r>
          <m:rPr>
            <m:sty m:val="p"/>
          </m:rPr>
          <m:t>–</m:t>
        </m:r>
      </m:oMath>
      <w:r>
        <w:rPr>
          <w:b/>
          <w:bCs/>
        </w:rPr>
        <w:t xml:space="preserve">1.56</w:t>
      </w:r>
      <w:r>
        <w:t xml:space="preserve">, versus</w:t>
      </w:r>
      <w:r>
        <w:t xml:space="preserve"> </w:t>
      </w:r>
      <m:oMath>
        <m:r>
          <m:t>1.14</m:t>
        </m:r>
        <m:r>
          <m:rPr>
            <m:sty m:val="p"/>
          </m:rPr>
          <m:t>*</m:t>
        </m:r>
        <m:r>
          <m:rPr>
            <m:sty m:val="p"/>
          </m:rPr>
          <m:t>*</m:t>
        </m:r>
        <m:r>
          <m:t>a</m:t>
        </m:r>
        <m:r>
          <m:t>y</m:t>
        </m:r>
        <m:r>
          <m:t>e</m:t>
        </m:r>
        <m:r>
          <m:t>a</m:t>
        </m:r>
        <m:r>
          <m:t>r</m:t>
        </m:r>
        <m:r>
          <m:t>a</m:t>
        </m:r>
        <m:r>
          <m:t>g</m:t>
        </m:r>
        <m:r>
          <m:t>o</m:t>
        </m:r>
        <m:r>
          <m:rPr>
            <m:sty m:val="p"/>
          </m:rPr>
          <m:t>,</m:t>
        </m:r>
        <m:r>
          <m:t>w</m:t>
        </m:r>
        <m:r>
          <m:t>i</m:t>
        </m:r>
        <m:r>
          <m:t>t</m:t>
        </m:r>
        <m:r>
          <m:t>h</m:t>
        </m:r>
        <m:r>
          <m:t>r</m:t>
        </m:r>
        <m:r>
          <m:t>e</m:t>
        </m:r>
        <m:r>
          <m:t>v</m:t>
        </m:r>
        <m:r>
          <m:t>e</m:t>
        </m:r>
        <m:r>
          <m:t>n</m:t>
        </m:r>
        <m:r>
          <m:t>u</m:t>
        </m:r>
        <m:r>
          <m:t>e</m:t>
        </m:r>
        <m:r>
          <m:t>a</m:t>
        </m:r>
        <m:r>
          <m:t>r</m:t>
        </m:r>
        <m:r>
          <m:t>o</m:t>
        </m:r>
        <m:r>
          <m:t>u</m:t>
        </m:r>
        <m:r>
          <m:t>n</m:t>
        </m:r>
        <m:r>
          <m:t>d</m:t>
        </m:r>
        <m:r>
          <m:rPr>
            <m:sty m:val="p"/>
          </m:rPr>
          <m:t>*</m:t>
        </m:r>
        <m:r>
          <m:rPr>
            <m:sty m:val="p"/>
          </m:rPr>
          <m:t>*</m:t>
        </m:r>
      </m:oMath>
      <w:r>
        <w:rPr>
          <w:b/>
          <w:bCs/>
        </w:rPr>
        <w:t xml:space="preserve">6.78 billion</w:t>
      </w:r>
      <w:r>
        <w:t xml:space="preserve">. That implies roughly</w:t>
      </w:r>
      <w:r>
        <w:t xml:space="preserve"> </w:t>
      </w:r>
      <w:r>
        <w:rPr>
          <w:b/>
          <w:bCs/>
        </w:rPr>
        <w:t xml:space="preserve">33% EPS growth</w:t>
      </w:r>
      <w:r>
        <w:t xml:space="preserve"> </w:t>
      </w:r>
      <w:r>
        <w:t xml:space="preserve">and mid-teens revenue growth year over year. Against 1Q26’s $6.48 billion of revenue, the revenue target implies about</w:t>
      </w:r>
      <w:r>
        <w:t xml:space="preserve"> </w:t>
      </w:r>
      <w:r>
        <w:rPr>
          <w:b/>
          <w:bCs/>
        </w:rPr>
        <w:t xml:space="preserve">4.6% sequential growth</w:t>
      </w:r>
      <w:r>
        <w:t xml:space="preserve">.</w:t>
      </w:r>
    </w:p>
    <w:p>
      <w:pPr>
        <w:pStyle w:val="BodyText"/>
      </w:pPr>
      <w:r>
        <w:t xml:space="preserve">SCHW closed at</w:t>
      </w:r>
      <w:r>
        <w:t xml:space="preserve"> </w:t>
      </w:r>
      <w:r>
        <w:rPr>
          <w:b/>
          <w:bCs/>
        </w:rPr>
        <w:t xml:space="preserve">$102.57 on July 20</w:t>
      </w:r>
      <w:r>
        <w:t xml:space="preserve">, up about</w:t>
      </w:r>
      <w:r>
        <w:t xml:space="preserve"> </w:t>
      </w:r>
      <w:r>
        <w:rPr>
          <w:b/>
          <w:bCs/>
        </w:rPr>
        <w:t xml:space="preserve">11.5%</w:t>
      </w:r>
      <w:r>
        <w:t xml:space="preserve"> </w:t>
      </w:r>
      <w:r>
        <w:t xml:space="preserve">from $92.03 on June 22. That raises the bar: a modest beat without a constructive outlook on NIM, cash, and client activity may not be enough.</w:t>
      </w:r>
    </w:p>
    <w:p>
      <w:r>
        <w:pict>
          <v:rect style="width:0;height:1.5pt" o:hralign="center" o:hrstd="t" o:hr="t"/>
        </w:pict>
      </w:r>
    </w:p>
    <w:bookmarkEnd w:id="9"/>
    <w:bookmarkStart w:id="14" w:name="what-matters-most-this-quarter"/>
    <w:p>
      <w:pPr>
        <w:pStyle w:val="Heading2"/>
      </w:pPr>
      <w:r>
        <w:t xml:space="preserve">What matters most this quarter</w:t>
      </w:r>
    </w:p>
    <w:bookmarkStart w:id="10" w:name="Xc8275e1b5deffdacf92cdad4ab33868f01ec73b"/>
    <w:p>
      <w:pPr>
        <w:pStyle w:val="Heading3"/>
      </w:pPr>
      <w:r>
        <w:t xml:space="preserve">1. Net interest revenue and net interest margin remain the primary earnings swing factors</w:t>
      </w:r>
    </w:p>
    <w:p>
      <w:pPr>
        <w:pStyle w:val="FirstParagraph"/>
      </w:pPr>
      <w:r>
        <w:t xml:space="preserve">In 1Q26, Schwab generated:</w:t>
      </w:r>
    </w:p>
    <w:p>
      <w:pPr>
        <w:pStyle w:val="Compact"/>
        <w:numPr>
          <w:ilvl w:val="0"/>
          <w:numId w:val="1001"/>
        </w:numPr>
      </w:pPr>
      <w:r>
        <w:rPr>
          <w:b/>
          <w:bCs/>
        </w:rPr>
        <w:t xml:space="preserve">$3.14 billion</w:t>
      </w:r>
      <w:r>
        <w:t xml:space="preserve"> </w:t>
      </w:r>
      <w:r>
        <w:t xml:space="preserve">of net interest revenue, up</w:t>
      </w:r>
      <w:r>
        <w:t xml:space="preserve"> </w:t>
      </w:r>
      <w:r>
        <w:rPr>
          <w:b/>
          <w:bCs/>
        </w:rPr>
        <w:t xml:space="preserve">16% YoY</w:t>
      </w:r>
    </w:p>
    <w:p>
      <w:pPr>
        <w:pStyle w:val="Compact"/>
        <w:numPr>
          <w:ilvl w:val="0"/>
          <w:numId w:val="1001"/>
        </w:numPr>
      </w:pPr>
      <w:r>
        <w:rPr>
          <w:b/>
          <w:bCs/>
        </w:rPr>
        <w:t xml:space="preserve">2.88% net interest margin</w:t>
      </w:r>
    </w:p>
    <w:p>
      <w:pPr>
        <w:pStyle w:val="Compact"/>
        <w:numPr>
          <w:ilvl w:val="0"/>
          <w:numId w:val="1001"/>
        </w:numPr>
      </w:pPr>
      <w:r>
        <w:rPr>
          <w:b/>
          <w:bCs/>
        </w:rPr>
        <w:t xml:space="preserve">$437.7 billion</w:t>
      </w:r>
      <w:r>
        <w:t xml:space="preserve"> </w:t>
      </w:r>
      <w:r>
        <w:t xml:space="preserve">of average interest-earning assets</w:t>
      </w:r>
    </w:p>
    <w:p>
      <w:pPr>
        <w:pStyle w:val="Compact"/>
        <w:numPr>
          <w:ilvl w:val="0"/>
          <w:numId w:val="1001"/>
        </w:numPr>
      </w:pPr>
      <w:r>
        <w:t xml:space="preserve">Lower interest expense as higher-cost funding rolled off, alongside greater lending activity</w:t>
      </w:r>
    </w:p>
    <w:p>
      <w:pPr>
        <w:pStyle w:val="FirstParagraph"/>
      </w:pPr>
      <w:r>
        <w:t xml:space="preserve">Management entered 2026 expecting a low-2.90% NIM exit rate under a rate-cut scenario, then said after 1Q that the company was tracking above its prior implied</w:t>
      </w:r>
      <w:r>
        <w:t xml:space="preserve"> </w:t>
      </w:r>
      <m:oMath>
        <m:r>
          <m:t>5.70</m:t>
        </m:r>
        <m:r>
          <m:rPr>
            <m:sty m:val="p"/>
          </m:rPr>
          <m:t>–</m:t>
        </m:r>
      </m:oMath>
      <w:r>
        <w:rPr>
          <w:b/>
          <w:bCs/>
        </w:rPr>
        <w:t xml:space="preserve">5.80</w:t>
      </w:r>
      <w:r>
        <w:t xml:space="preserve"> </w:t>
      </w:r>
      <w:r>
        <w:t xml:space="preserve">full-year EPS scenario, excluding buybacks and Forge. The key issue now is whether the current rate path, cash balances, and loan growth support a higher 2026 earnings framework.</w:t>
      </w:r>
    </w:p>
    <w:p>
      <w:pPr>
        <w:pStyle w:val="BodyText"/>
      </w:pPr>
      <w:r>
        <w:rPr>
          <w:b/>
          <w:bCs/>
        </w:rPr>
        <w:t xml:space="preserve">What investors should listen for:</w:t>
      </w:r>
    </w:p>
    <w:p>
      <w:pPr>
        <w:pStyle w:val="Compact"/>
        <w:numPr>
          <w:ilvl w:val="0"/>
          <w:numId w:val="1002"/>
        </w:numPr>
      </w:pPr>
      <w:r>
        <w:t xml:space="preserve">2Q NIM and the implied exit rate for 2026</w:t>
      </w:r>
    </w:p>
    <w:p>
      <w:pPr>
        <w:pStyle w:val="Compact"/>
        <w:numPr>
          <w:ilvl w:val="0"/>
          <w:numId w:val="1002"/>
        </w:numPr>
      </w:pPr>
      <w:r>
        <w:t xml:space="preserve">Average interest-earning asset growth versus 1Q</w:t>
      </w:r>
    </w:p>
    <w:p>
      <w:pPr>
        <w:pStyle w:val="Compact"/>
        <w:numPr>
          <w:ilvl w:val="0"/>
          <w:numId w:val="1002"/>
        </w:numPr>
      </w:pPr>
      <w:r>
        <w:t xml:space="preserve">The mix of incremental balance-sheet growth: loans versus securities/cash</w:t>
      </w:r>
    </w:p>
    <w:p>
      <w:pPr>
        <w:pStyle w:val="Compact"/>
        <w:numPr>
          <w:ilvl w:val="0"/>
          <w:numId w:val="1002"/>
        </w:numPr>
      </w:pPr>
      <w:r>
        <w:t xml:space="preserve">Deposit and transactional-sweep trends after seasonal tax-related outflows</w:t>
      </w:r>
    </w:p>
    <w:p>
      <w:pPr>
        <w:pStyle w:val="Compact"/>
        <w:numPr>
          <w:ilvl w:val="0"/>
          <w:numId w:val="1002"/>
        </w:numPr>
      </w:pPr>
      <w:r>
        <w:t xml:space="preserve">Any updated full-year earnings framework or explicit sensitivity to rates</w:t>
      </w:r>
    </w:p>
    <w:p>
      <w:pPr>
        <w:pStyle w:val="FirstParagraph"/>
      </w:pPr>
      <w:r>
        <w:t xml:space="preserve">A better-than-expected NIM outlook would likely be the cleanest catalyst for the shares.</w:t>
      </w:r>
    </w:p>
    <w:p>
      <w:r>
        <w:pict>
          <v:rect style="width:0;height:1.5pt" o:hralign="center" o:hrstd="t" o:hr="t"/>
        </w:pict>
      </w:r>
    </w:p>
    <w:bookmarkEnd w:id="10"/>
    <w:bookmarkStart w:id="11" w:name="Xc4199479cb3ff1bf47340a96fe2b70485b543bf"/>
    <w:p>
      <w:pPr>
        <w:pStyle w:val="Heading3"/>
      </w:pPr>
      <w:r>
        <w:t xml:space="preserve">2. Asset gathering must confirm that March strength was not a one-off</w:t>
      </w:r>
    </w:p>
    <w:p>
      <w:pPr>
        <w:pStyle w:val="FirstParagraph"/>
      </w:pPr>
      <w:r>
        <w:t xml:space="preserve">Schwab had exceptional asset gathering in 1Q:</w:t>
      </w:r>
    </w:p>
    <w:p>
      <w:pPr>
        <w:pStyle w:val="Compact"/>
        <w:numPr>
          <w:ilvl w:val="0"/>
          <w:numId w:val="1003"/>
        </w:numPr>
      </w:pPr>
      <w:r>
        <w:rPr>
          <w:b/>
          <w:bCs/>
        </w:rPr>
        <w:t xml:space="preserve">$140.0 billion</w:t>
      </w:r>
      <w:r>
        <w:t xml:space="preserve"> </w:t>
      </w:r>
      <w:r>
        <w:t xml:space="preserve">of reported core net new assets</w:t>
      </w:r>
    </w:p>
    <w:p>
      <w:pPr>
        <w:pStyle w:val="Compact"/>
        <w:numPr>
          <w:ilvl w:val="0"/>
          <w:numId w:val="1003"/>
        </w:numPr>
      </w:pPr>
      <w:r>
        <w:rPr>
          <w:b/>
          <w:bCs/>
        </w:rPr>
        <w:t xml:space="preserve">$157.5 billion</w:t>
      </w:r>
      <w:r>
        <w:t xml:space="preserve"> </w:t>
      </w:r>
      <w:r>
        <w:t xml:space="preserve">excluding a planned clearing-client deconversion</w:t>
      </w:r>
    </w:p>
    <w:p>
      <w:pPr>
        <w:pStyle w:val="Compact"/>
        <w:numPr>
          <w:ilvl w:val="0"/>
          <w:numId w:val="1003"/>
        </w:numPr>
      </w:pPr>
      <w:r>
        <w:rPr>
          <w:b/>
          <w:bCs/>
        </w:rPr>
        <w:t xml:space="preserve">$79.7 billion</w:t>
      </w:r>
      <w:r>
        <w:t xml:space="preserve"> </w:t>
      </w:r>
      <w:r>
        <w:t xml:space="preserve">of core NNA in March alone, its second-highest monthly result ever</w:t>
      </w:r>
    </w:p>
    <w:p>
      <w:pPr>
        <w:pStyle w:val="Compact"/>
        <w:numPr>
          <w:ilvl w:val="0"/>
          <w:numId w:val="1003"/>
        </w:numPr>
      </w:pPr>
      <w:r>
        <w:rPr>
          <w:b/>
          <w:bCs/>
        </w:rPr>
        <w:t xml:space="preserve">1.3 million</w:t>
      </w:r>
      <w:r>
        <w:t xml:space="preserve"> </w:t>
      </w:r>
      <w:r>
        <w:t xml:space="preserve">new brokerage accounts opened in the quarter</w:t>
      </w:r>
    </w:p>
    <w:p>
      <w:pPr>
        <w:pStyle w:val="FirstParagraph"/>
      </w:pPr>
      <w:r>
        <w:t xml:space="preserve">The Investor Day update in May indicated that the favorable client-growth trend had continued into April. Investors will want evidence that momentum persisted through May and June, particularly in both the retail and RIA channels.</w:t>
      </w:r>
    </w:p>
    <w:p>
      <w:pPr>
        <w:pStyle w:val="BodyText"/>
      </w:pPr>
      <w:r>
        <w:rPr>
          <w:b/>
          <w:bCs/>
        </w:rPr>
        <w:t xml:space="preserve">The most important client-growth KPIs: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KPI</w:t>
            </w:r>
          </w:p>
        </w:tc>
        <w:tc>
          <w:tcPr/>
          <w:p>
            <w:pPr>
              <w:pStyle w:val="Compact"/>
            </w:pPr>
            <w:r>
              <w:t xml:space="preserve">Why it matters</w:t>
            </w:r>
          </w:p>
        </w:tc>
      </w:tr>
      <w:tr>
        <w:tc>
          <w:tcPr/>
          <w:p>
            <w:pPr>
              <w:pStyle w:val="Compact"/>
            </w:pPr>
            <w:r>
              <w:t xml:space="preserve">Core net new assets</w:t>
            </w:r>
          </w:p>
        </w:tc>
        <w:tc>
          <w:tcPr/>
          <w:p>
            <w:pPr>
              <w:pStyle w:val="Compact"/>
            </w:pPr>
            <w:r>
              <w:t xml:space="preserve">Best single measure of franchise momentum and future revenue capacity</w:t>
            </w:r>
          </w:p>
        </w:tc>
      </w:tr>
      <w:tr>
        <w:tc>
          <w:tcPr/>
          <w:p>
            <w:pPr>
              <w:pStyle w:val="Compact"/>
            </w:pPr>
            <w:r>
              <w:t xml:space="preserve">Retail vs. Advisor Services mix</w:t>
            </w:r>
          </w:p>
        </w:tc>
        <w:tc>
          <w:tcPr/>
          <w:p>
            <w:pPr>
              <w:pStyle w:val="Compact"/>
            </w:pPr>
            <w:r>
              <w:t xml:space="preserve">Tests whether broad-based growth is occurring, rather than reliance on large RIA flows</w:t>
            </w:r>
          </w:p>
        </w:tc>
      </w:tr>
      <w:tr>
        <w:tc>
          <w:tcPr/>
          <w:p>
            <w:pPr>
              <w:pStyle w:val="Compact"/>
            </w:pPr>
            <w:r>
              <w:t xml:space="preserve">New brokerage accounts / new households</w:t>
            </w:r>
          </w:p>
        </w:tc>
        <w:tc>
          <w:tcPr/>
          <w:p>
            <w:pPr>
              <w:pStyle w:val="Compact"/>
            </w:pPr>
            <w:r>
              <w:t xml:space="preserve">Indicates future asset-gathering pipeline</w:t>
            </w:r>
          </w:p>
        </w:tc>
      </w:tr>
      <w:tr>
        <w:tc>
          <w:tcPr/>
          <w:p>
            <w:pPr>
              <w:pStyle w:val="Compact"/>
            </w:pPr>
            <w:r>
              <w:t xml:space="preserve">Client asset levels</w:t>
            </w:r>
          </w:p>
        </w:tc>
        <w:tc>
          <w:tcPr/>
          <w:p>
            <w:pPr>
              <w:pStyle w:val="Compact"/>
            </w:pPr>
            <w:r>
              <w:t xml:space="preserve">Supports asset-management fees, though market-sensitive</w:t>
            </w:r>
          </w:p>
        </w:tc>
      </w:tr>
      <w:tr>
        <w:tc>
          <w:tcPr/>
          <w:p>
            <w:pPr>
              <w:pStyle w:val="Compact"/>
            </w:pPr>
            <w:r>
              <w:t xml:space="preserve">Managed-investing net flows</w:t>
            </w:r>
          </w:p>
        </w:tc>
        <w:tc>
          <w:tcPr/>
          <w:p>
            <w:pPr>
              <w:pStyle w:val="Compact"/>
            </w:pPr>
            <w:r>
              <w:t xml:space="preserve">Builds recurring, diversified fee revenue</w:t>
            </w:r>
          </w:p>
        </w:tc>
      </w:tr>
      <w:tr>
        <w:tc>
          <w:tcPr/>
          <w:p>
            <w:pPr>
              <w:pStyle w:val="Compact"/>
            </w:pPr>
            <w:r>
              <w:t xml:space="preserve">Transfer-of-assets ratio</w:t>
            </w:r>
          </w:p>
        </w:tc>
        <w:tc>
          <w:tcPr/>
          <w:p>
            <w:pPr>
              <w:pStyle w:val="Compact"/>
            </w:pPr>
            <w:r>
              <w:t xml:space="preserve">A measure of competitive share gains</w:t>
            </w:r>
          </w:p>
        </w:tc>
      </w:tr>
    </w:tbl>
    <w:p>
      <w:pPr>
        <w:pStyle w:val="BodyText"/>
      </w:pPr>
      <w:r>
        <w:t xml:space="preserve">The bull case is that Schwab is becoming more of a</w:t>
      </w:r>
      <w:r>
        <w:t xml:space="preserve"> </w:t>
      </w:r>
      <w:r>
        <w:rPr>
          <w:b/>
          <w:bCs/>
        </w:rPr>
        <w:t xml:space="preserve">through-cycle asset-gathering compounder</w:t>
      </w:r>
      <w:r>
        <w:t xml:space="preserve">, rather than simply a rate-sensitive brokerage/bank hybrid.</w:t>
      </w:r>
    </w:p>
    <w:p>
      <w:r>
        <w:pict>
          <v:rect style="width:0;height:1.5pt" o:hralign="center" o:hrstd="t" o:hr="t"/>
        </w:pict>
      </w:r>
    </w:p>
    <w:bookmarkEnd w:id="11"/>
    <w:bookmarkStart w:id="12" w:name="X4b7694a4312604a0a6f1b53695b5966f836ebde"/>
    <w:p>
      <w:pPr>
        <w:pStyle w:val="Heading3"/>
      </w:pPr>
      <w:r>
        <w:t xml:space="preserve">3. Trading should stay robust—but revenue per trade remains the watch item</w:t>
      </w:r>
    </w:p>
    <w:p>
      <w:pPr>
        <w:pStyle w:val="FirstParagraph"/>
      </w:pPr>
      <w:r>
        <w:t xml:space="preserve">Trading activity was exceptionally strong in 1Q:</w:t>
      </w:r>
    </w:p>
    <w:p>
      <w:pPr>
        <w:pStyle w:val="Compact"/>
        <w:numPr>
          <w:ilvl w:val="0"/>
          <w:numId w:val="1004"/>
        </w:numPr>
      </w:pPr>
      <w:r>
        <w:rPr>
          <w:b/>
          <w:bCs/>
        </w:rPr>
        <w:t xml:space="preserve">9.9 million</w:t>
      </w:r>
      <w:r>
        <w:t xml:space="preserve"> </w:t>
      </w:r>
      <w:r>
        <w:t xml:space="preserve">daily average trades, a record, up</w:t>
      </w:r>
      <w:r>
        <w:t xml:space="preserve"> </w:t>
      </w:r>
      <w:r>
        <w:rPr>
          <w:b/>
          <w:bCs/>
        </w:rPr>
        <w:t xml:space="preserve">34% YoY</w:t>
      </w:r>
    </w:p>
    <w:p>
      <w:pPr>
        <w:pStyle w:val="Compact"/>
        <w:numPr>
          <w:ilvl w:val="0"/>
          <w:numId w:val="1004"/>
        </w:numPr>
      </w:pPr>
      <w:r>
        <w:t xml:space="preserve">Trading revenue of</w:t>
      </w:r>
      <w:r>
        <w:t xml:space="preserve"> </w:t>
      </w:r>
      <w:r>
        <w:rPr>
          <w:b/>
          <w:bCs/>
        </w:rPr>
        <w:t xml:space="preserve">$1.09 billion</w:t>
      </w:r>
      <w:r>
        <w:t xml:space="preserve">, up</w:t>
      </w:r>
      <w:r>
        <w:t xml:space="preserve"> </w:t>
      </w:r>
      <w:r>
        <w:rPr>
          <w:b/>
          <w:bCs/>
        </w:rPr>
        <w:t xml:space="preserve">20% YoY</w:t>
      </w:r>
    </w:p>
    <w:p>
      <w:pPr>
        <w:pStyle w:val="Compact"/>
        <w:numPr>
          <w:ilvl w:val="0"/>
          <w:numId w:val="1004"/>
        </w:numPr>
      </w:pPr>
      <w:r>
        <w:t xml:space="preserve">March DATs reached</w:t>
      </w:r>
      <w:r>
        <w:t xml:space="preserve"> </w:t>
      </w:r>
      <w:r>
        <w:rPr>
          <w:b/>
          <w:bCs/>
        </w:rPr>
        <w:t xml:space="preserve">10.2 million</w:t>
      </w:r>
    </w:p>
    <w:p>
      <w:pPr>
        <w:pStyle w:val="Compact"/>
        <w:numPr>
          <w:ilvl w:val="0"/>
          <w:numId w:val="1004"/>
        </w:numPr>
      </w:pPr>
      <w:r>
        <w:t xml:space="preserve">Margin loan balances ended 1Q at</w:t>
      </w:r>
      <w:r>
        <w:t xml:space="preserve"> </w:t>
      </w:r>
      <w:r>
        <w:rPr>
          <w:b/>
          <w:bCs/>
        </w:rPr>
        <w:t xml:space="preserve">$126.7 billion</w:t>
      </w:r>
      <w:r>
        <w:t xml:space="preserve">, up</w:t>
      </w:r>
      <w:r>
        <w:t xml:space="preserve"> </w:t>
      </w:r>
      <w:r>
        <w:rPr>
          <w:b/>
          <w:bCs/>
        </w:rPr>
        <w:t xml:space="preserve">52% YoY</w:t>
      </w:r>
    </w:p>
    <w:p>
      <w:pPr>
        <w:pStyle w:val="FirstParagraph"/>
      </w:pPr>
      <w:r>
        <w:t xml:space="preserve">The nuance is monetization. In 1Q, management explained that clients were placing smaller, shorter-duration trades amid uncertainty. That lifted total trading activity but pressured revenue per trade:</w:t>
      </w:r>
      <w:r>
        <w:t xml:space="preserve"> </w:t>
      </w:r>
      <m:oMath>
        <m:r>
          <m:t>1.80</m:t>
        </m:r>
        <m:r>
          <m:rPr>
            <m:sty m:val="p"/>
          </m:rPr>
          <m:t>*</m:t>
        </m:r>
        <m:r>
          <m:rPr>
            <m:sty m:val="p"/>
          </m:rPr>
          <m:t>*</m:t>
        </m:r>
        <m:r>
          <m:t>i</m:t>
        </m:r>
        <m:r>
          <m:t>n</m:t>
        </m:r>
        <m:r>
          <m:t>1</m:t>
        </m:r>
        <m:r>
          <m:t>Q</m:t>
        </m:r>
        <m:r>
          <m:t>v</m:t>
        </m:r>
        <m:r>
          <m:t>e</m:t>
        </m:r>
        <m:r>
          <m:t>r</m:t>
        </m:r>
        <m:r>
          <m:t>s</m:t>
        </m:r>
        <m:r>
          <m:t>u</m:t>
        </m:r>
        <m:r>
          <m:t>s</m:t>
        </m:r>
        <m:r>
          <m:rPr>
            <m:sty m:val="p"/>
          </m:rPr>
          <m:t>*</m:t>
        </m:r>
        <m:r>
          <m:rPr>
            <m:sty m:val="p"/>
          </m:rPr>
          <m:t>*</m:t>
        </m:r>
      </m:oMath>
      <w:r>
        <w:rPr>
          <w:b/>
          <w:bCs/>
        </w:rPr>
        <w:t xml:space="preserve">2.05</w:t>
      </w:r>
      <w:r>
        <w:t xml:space="preserve"> </w:t>
      </w:r>
      <w:r>
        <w:t xml:space="preserve">a year earlier.</w:t>
      </w:r>
    </w:p>
    <w:p>
      <w:pPr>
        <w:pStyle w:val="BodyText"/>
      </w:pPr>
      <w:r>
        <w:t xml:space="preserve">For 2Q, investors should focus on the relationship between:</w:t>
      </w:r>
    </w:p>
    <w:p>
      <w:pPr>
        <w:pStyle w:val="Compact"/>
        <w:numPr>
          <w:ilvl w:val="0"/>
          <w:numId w:val="1005"/>
        </w:numPr>
      </w:pPr>
      <w:r>
        <w:rPr>
          <w:b/>
          <w:bCs/>
        </w:rPr>
        <w:t xml:space="preserve">DATs</w:t>
      </w:r>
    </w:p>
    <w:p>
      <w:pPr>
        <w:pStyle w:val="Compact"/>
        <w:numPr>
          <w:ilvl w:val="0"/>
          <w:numId w:val="1005"/>
        </w:numPr>
      </w:pPr>
      <w:r>
        <w:rPr>
          <w:b/>
          <w:bCs/>
        </w:rPr>
        <w:t xml:space="preserve">Equity versus derivative mix</w:t>
      </w:r>
    </w:p>
    <w:p>
      <w:pPr>
        <w:pStyle w:val="Compact"/>
        <w:numPr>
          <w:ilvl w:val="0"/>
          <w:numId w:val="1005"/>
        </w:numPr>
      </w:pPr>
      <w:r>
        <w:rPr>
          <w:b/>
          <w:bCs/>
        </w:rPr>
        <w:t xml:space="preserve">Trade size and contracts per trade</w:t>
      </w:r>
    </w:p>
    <w:p>
      <w:pPr>
        <w:pStyle w:val="Compact"/>
        <w:numPr>
          <w:ilvl w:val="0"/>
          <w:numId w:val="1005"/>
        </w:numPr>
      </w:pPr>
      <w:r>
        <w:rPr>
          <w:b/>
          <w:bCs/>
        </w:rPr>
        <w:t xml:space="preserve">Revenue per trade</w:t>
      </w:r>
    </w:p>
    <w:p>
      <w:pPr>
        <w:pStyle w:val="Compact"/>
        <w:numPr>
          <w:ilvl w:val="0"/>
          <w:numId w:val="1005"/>
        </w:numPr>
      </w:pPr>
      <w:r>
        <w:rPr>
          <w:b/>
          <w:bCs/>
        </w:rPr>
        <w:t xml:space="preserve">Margin balances</w:t>
      </w:r>
    </w:p>
    <w:p>
      <w:pPr>
        <w:pStyle w:val="FirstParagraph"/>
      </w:pPr>
      <w:r>
        <w:t xml:space="preserve">A strong print would show continued elevated activity with a stable-to-improving revenue-per-trade trend. Conversely, very high trading volumes paired with further deterioration in RPT could temper enthusiasm.</w:t>
      </w:r>
    </w:p>
    <w:p>
      <w:r>
        <w:pict>
          <v:rect style="width:0;height:1.5pt" o:hralign="center" o:hrstd="t" o:hr="t"/>
        </w:pict>
      </w:r>
    </w:p>
    <w:bookmarkEnd w:id="12"/>
    <w:bookmarkStart w:id="13" w:name="Xe019471099405d4d6e6ddebd7d1443d28e93561"/>
    <w:p>
      <w:pPr>
        <w:pStyle w:val="Heading3"/>
      </w:pPr>
      <w:r>
        <w:t xml:space="preserve">4. Managed investing, lending, and wealth are increasingly important to the earnings mix</w:t>
      </w:r>
    </w:p>
    <w:p>
      <w:pPr>
        <w:pStyle w:val="FirstParagraph"/>
      </w:pPr>
      <w:r>
        <w:t xml:space="preserve">Schwab’s strategic objective is to deepen client relationships and create more recurring, less rate-dependent revenue streams. The evidence in 1Q was compelling:</w:t>
      </w:r>
    </w:p>
    <w:p>
      <w:pPr>
        <w:pStyle w:val="Compact"/>
        <w:numPr>
          <w:ilvl w:val="0"/>
          <w:numId w:val="1006"/>
        </w:numPr>
      </w:pPr>
      <w:r>
        <w:t xml:space="preserve">Asset-management and administration fees rose</w:t>
      </w:r>
      <w:r>
        <w:t xml:space="preserve"> </w:t>
      </w:r>
      <w:r>
        <w:rPr>
          <w:b/>
          <w:bCs/>
        </w:rPr>
        <w:t xml:space="preserve">15% YoY</w:t>
      </w:r>
      <w:r>
        <w:t xml:space="preserve"> </w:t>
      </w:r>
      <w:r>
        <w:t xml:space="preserve">to</w:t>
      </w:r>
      <w:r>
        <w:t xml:space="preserve"> </w:t>
      </w:r>
      <w:r>
        <w:rPr>
          <w:b/>
          <w:bCs/>
        </w:rPr>
        <w:t xml:space="preserve">$1.76 billion</w:t>
      </w:r>
    </w:p>
    <w:p>
      <w:pPr>
        <w:pStyle w:val="Compact"/>
        <w:numPr>
          <w:ilvl w:val="0"/>
          <w:numId w:val="1006"/>
        </w:numPr>
      </w:pPr>
      <w:r>
        <w:t xml:space="preserve">Managed-investing net flows increased</w:t>
      </w:r>
      <w:r>
        <w:t xml:space="preserve"> </w:t>
      </w:r>
      <w:r>
        <w:rPr>
          <w:b/>
          <w:bCs/>
        </w:rPr>
        <w:t xml:space="preserve">46% YoY</w:t>
      </w:r>
    </w:p>
    <w:p>
      <w:pPr>
        <w:pStyle w:val="Compact"/>
        <w:numPr>
          <w:ilvl w:val="0"/>
          <w:numId w:val="1006"/>
        </w:numPr>
      </w:pPr>
      <w:r>
        <w:t xml:space="preserve">Schwab Wealth Advisory generated record</w:t>
      </w:r>
      <w:r>
        <w:t xml:space="preserve"> </w:t>
      </w:r>
      <w:r>
        <w:rPr>
          <w:b/>
          <w:bCs/>
        </w:rPr>
        <w:t xml:space="preserve">$10 billion</w:t>
      </w:r>
      <w:r>
        <w:t xml:space="preserve"> </w:t>
      </w:r>
      <w:r>
        <w:t xml:space="preserve">of net flows, up</w:t>
      </w:r>
      <w:r>
        <w:t xml:space="preserve"> </w:t>
      </w:r>
      <w:r>
        <w:rPr>
          <w:b/>
          <w:bCs/>
        </w:rPr>
        <w:t xml:space="preserve">90% YoY</w:t>
      </w:r>
    </w:p>
    <w:p>
      <w:pPr>
        <w:pStyle w:val="Compact"/>
        <w:numPr>
          <w:ilvl w:val="0"/>
          <w:numId w:val="1006"/>
        </w:numPr>
      </w:pPr>
      <w:r>
        <w:t xml:space="preserve">Bank loans reached</w:t>
      </w:r>
      <w:r>
        <w:t xml:space="preserve"> </w:t>
      </w:r>
      <w:r>
        <w:rPr>
          <w:b/>
          <w:bCs/>
        </w:rPr>
        <w:t xml:space="preserve">$60.9 billion</w:t>
      </w:r>
      <w:r>
        <w:t xml:space="preserve">, up</w:t>
      </w:r>
      <w:r>
        <w:t xml:space="preserve"> </w:t>
      </w:r>
      <w:r>
        <w:rPr>
          <w:b/>
          <w:bCs/>
        </w:rPr>
        <w:t xml:space="preserve">29% YoY</w:t>
      </w:r>
    </w:p>
    <w:p>
      <w:pPr>
        <w:pStyle w:val="Compact"/>
        <w:numPr>
          <w:ilvl w:val="0"/>
          <w:numId w:val="1006"/>
        </w:numPr>
      </w:pPr>
      <w:r>
        <w:t xml:space="preserve">Pledged-asset-line and other lending activity continued to expand</w:t>
      </w:r>
    </w:p>
    <w:p>
      <w:pPr>
        <w:pStyle w:val="FirstParagraph"/>
      </w:pPr>
      <w:r>
        <w:t xml:space="preserve">This is a particularly important earnings-call theme because it supports the argument that Schwab can grow revenue even if the interest-rate environment eventually becomes less favorable.</w:t>
      </w:r>
    </w:p>
    <w:p>
      <w:pPr>
        <w:pStyle w:val="BodyText"/>
      </w:pPr>
      <w:r>
        <w:rPr>
          <w:b/>
          <w:bCs/>
        </w:rPr>
        <w:t xml:space="preserve">Key questions:</w:t>
      </w:r>
    </w:p>
    <w:p>
      <w:pPr>
        <w:pStyle w:val="Compact"/>
        <w:numPr>
          <w:ilvl w:val="0"/>
          <w:numId w:val="1007"/>
        </w:numPr>
      </w:pPr>
      <w:r>
        <w:t xml:space="preserve">Is Schwab Wealth Advisory retaining its elevated flow trajectory?</w:t>
      </w:r>
    </w:p>
    <w:p>
      <w:pPr>
        <w:pStyle w:val="Compact"/>
        <w:numPr>
          <w:ilvl w:val="0"/>
          <w:numId w:val="1007"/>
        </w:numPr>
      </w:pPr>
      <w:r>
        <w:t xml:space="preserve">Are pledged-asset-line originations continuing to scale?</w:t>
      </w:r>
    </w:p>
    <w:p>
      <w:pPr>
        <w:pStyle w:val="Compact"/>
        <w:numPr>
          <w:ilvl w:val="0"/>
          <w:numId w:val="1007"/>
        </w:numPr>
      </w:pPr>
      <w:r>
        <w:t xml:space="preserve">Is the structured asset line gaining traction with RIAs and alternative-asset holders?</w:t>
      </w:r>
    </w:p>
    <w:p>
      <w:pPr>
        <w:pStyle w:val="Compact"/>
        <w:numPr>
          <w:ilvl w:val="0"/>
          <w:numId w:val="1007"/>
        </w:numPr>
      </w:pPr>
      <w:r>
        <w:t xml:space="preserve">Is Schwab seeing meaningful cross-sell from wealth clients into lending, trust, tax, and estate-planning services?</w:t>
      </w:r>
    </w:p>
    <w:p>
      <w:pPr>
        <w:pStyle w:val="Compact"/>
        <w:numPr>
          <w:ilvl w:val="0"/>
          <w:numId w:val="1007"/>
        </w:numPr>
      </w:pPr>
      <w:r>
        <w:t xml:space="preserve">Are expenses rising in a controlled fashion as Schwab hires wealth advisers and financial consultants?</w:t>
      </w:r>
    </w:p>
    <w:p>
      <w:r>
        <w:pict>
          <v:rect style="width:0;height:1.5pt" o:hralign="center" o:hrstd="t" o:hr="t"/>
        </w:pict>
      </w:r>
    </w:p>
    <w:bookmarkEnd w:id="13"/>
    <w:bookmarkEnd w:id="14"/>
    <w:bookmarkStart w:id="15" w:name="X8fdf191f1d52f104f808503ea5eda25cb9d68c1"/>
    <w:p>
      <w:pPr>
        <w:pStyle w:val="Heading2"/>
      </w:pPr>
      <w:r>
        <w:t xml:space="preserve">The major debate: client-cash economics and AI</w:t>
      </w:r>
    </w:p>
    <w:p>
      <w:pPr>
        <w:pStyle w:val="FirstParagraph"/>
      </w:pPr>
      <w:r>
        <w:t xml:space="preserve">The most important strategic overhang is not near-term earnings; it is whether technology or competitive changes could reduce Schwab’s ability to earn a spread on client sweep cash.</w:t>
      </w:r>
    </w:p>
    <w:p>
      <w:pPr>
        <w:pStyle w:val="BodyText"/>
      </w:pPr>
      <w:r>
        <w:t xml:space="preserve">Management has been unusually direct:</w:t>
      </w:r>
    </w:p>
    <w:p>
      <w:pPr>
        <w:pStyle w:val="Compact"/>
        <w:numPr>
          <w:ilvl w:val="0"/>
          <w:numId w:val="1008"/>
        </w:numPr>
      </w:pPr>
      <w:r>
        <w:t xml:space="preserve">It argues clients already actively allocate cash across sweep balances, money-market funds, bonds, CDs, and other alternatives.</w:t>
      </w:r>
    </w:p>
    <w:p>
      <w:pPr>
        <w:pStyle w:val="Compact"/>
        <w:numPr>
          <w:ilvl w:val="0"/>
          <w:numId w:val="1008"/>
        </w:numPr>
      </w:pPr>
      <w:r>
        <w:t xml:space="preserve">It has</w:t>
      </w:r>
      <w:r>
        <w:t xml:space="preserve"> </w:t>
      </w:r>
      <w:r>
        <w:rPr>
          <w:b/>
          <w:bCs/>
        </w:rPr>
        <w:t xml:space="preserve">no current plan</w:t>
      </w:r>
      <w:r>
        <w:t xml:space="preserve"> </w:t>
      </w:r>
      <w:r>
        <w:t xml:space="preserve">to introduce a standalone “cash optimizer.”</w:t>
      </w:r>
    </w:p>
    <w:p>
      <w:pPr>
        <w:pStyle w:val="Compact"/>
        <w:numPr>
          <w:ilvl w:val="0"/>
          <w:numId w:val="1008"/>
        </w:numPr>
      </w:pPr>
      <w:r>
        <w:t xml:space="preserve">It views automated cash movement, if provided as part of a discretionary allocation service, as a potentially fee-based advisory capability rather than a free substitute for current economics.</w:t>
      </w:r>
    </w:p>
    <w:p>
      <w:pPr>
        <w:pStyle w:val="Compact"/>
        <w:numPr>
          <w:ilvl w:val="0"/>
          <w:numId w:val="1008"/>
        </w:numPr>
      </w:pPr>
      <w:r>
        <w:t xml:space="preserve">It emphasizes that client cash is only a small piece of a broader relationship and that Schwab has flexibility to monetize trading, advice, lending, products, and platform distribution.</w:t>
      </w:r>
    </w:p>
    <w:p>
      <w:pPr>
        <w:pStyle w:val="FirstParagraph"/>
      </w:pPr>
      <w:r>
        <w:t xml:space="preserve">This debate is unlikely to be resolved in one quarter. Still, the call could move the stock if management provides sharper evidence on:</w:t>
      </w:r>
    </w:p>
    <w:p>
      <w:pPr>
        <w:pStyle w:val="Compact"/>
        <w:numPr>
          <w:ilvl w:val="0"/>
          <w:numId w:val="1009"/>
        </w:numPr>
      </w:pPr>
      <w:r>
        <w:t xml:space="preserve">Sweep-cash stability</w:t>
      </w:r>
    </w:p>
    <w:p>
      <w:pPr>
        <w:pStyle w:val="Compact"/>
        <w:numPr>
          <w:ilvl w:val="0"/>
          <w:numId w:val="1009"/>
        </w:numPr>
      </w:pPr>
      <w:r>
        <w:t xml:space="preserve">Cash sorting into money funds or other products</w:t>
      </w:r>
    </w:p>
    <w:p>
      <w:pPr>
        <w:pStyle w:val="Compact"/>
        <w:numPr>
          <w:ilvl w:val="0"/>
          <w:numId w:val="1009"/>
        </w:numPr>
      </w:pPr>
      <w:r>
        <w:t xml:space="preserve">Cash-related client behavior after tax season</w:t>
      </w:r>
    </w:p>
    <w:p>
      <w:pPr>
        <w:pStyle w:val="Compact"/>
        <w:numPr>
          <w:ilvl w:val="0"/>
          <w:numId w:val="1009"/>
        </w:numPr>
      </w:pPr>
      <w:r>
        <w:t xml:space="preserve">Competitive response and product roadmap</w:t>
      </w:r>
    </w:p>
    <w:p>
      <w:pPr>
        <w:pStyle w:val="Compact"/>
        <w:numPr>
          <w:ilvl w:val="0"/>
          <w:numId w:val="1009"/>
        </w:numPr>
      </w:pPr>
      <w:r>
        <w:t xml:space="preserve">Progress on new monetization opportunities, including ETF platform fees</w:t>
      </w:r>
    </w:p>
    <w:p>
      <w:pPr>
        <w:pStyle w:val="FirstParagraph"/>
      </w:pPr>
      <w:r>
        <w:rPr>
          <w:b/>
          <w:bCs/>
        </w:rPr>
        <w:t xml:space="preserve">Investor interpretation:</w:t>
      </w:r>
      <w:r>
        <w:t xml:space="preserve"> </w:t>
      </w:r>
      <w:r>
        <w:t xml:space="preserve">Stable sweep balances and confident commentary should be a positive. Material cash leakage, defensive messaging, or a need to introduce a lower-spread cash product could revive the bear case.</w:t>
      </w:r>
    </w:p>
    <w:p>
      <w:r>
        <w:pict>
          <v:rect style="width:0;height:1.5pt" o:hralign="center" o:hrstd="t" o:hr="t"/>
        </w:pict>
      </w:r>
    </w:p>
    <w:bookmarkEnd w:id="15"/>
    <w:bookmarkStart w:id="16" w:name="X2c8eadc497e097aa9183db1c5fba1893043ccf8"/>
    <w:p>
      <w:pPr>
        <w:pStyle w:val="Heading2"/>
      </w:pPr>
      <w:r>
        <w:t xml:space="preserve">Capital return and balance-sheet flexibility</w:t>
      </w:r>
    </w:p>
    <w:p>
      <w:pPr>
        <w:pStyle w:val="FirstParagraph"/>
      </w:pPr>
      <w:r>
        <w:t xml:space="preserve">Schwab returned substantial capital in 1Q:</w:t>
      </w:r>
    </w:p>
    <w:p>
      <w:pPr>
        <w:pStyle w:val="Compact"/>
        <w:numPr>
          <w:ilvl w:val="0"/>
          <w:numId w:val="1010"/>
        </w:numPr>
      </w:pPr>
      <w:r>
        <w:rPr>
          <w:b/>
          <w:bCs/>
        </w:rPr>
        <w:t xml:space="preserve">$2.4 billion</w:t>
      </w:r>
      <w:r>
        <w:t xml:space="preserve"> </w:t>
      </w:r>
      <w:r>
        <w:t xml:space="preserve">of common-stock repurchases</w:t>
      </w:r>
    </w:p>
    <w:p>
      <w:pPr>
        <w:pStyle w:val="Compact"/>
        <w:numPr>
          <w:ilvl w:val="0"/>
          <w:numId w:val="1010"/>
        </w:numPr>
      </w:pPr>
      <w:r>
        <w:rPr>
          <w:b/>
          <w:bCs/>
        </w:rPr>
        <w:t xml:space="preserve">24.3 million</w:t>
      </w:r>
      <w:r>
        <w:t xml:space="preserve"> </w:t>
      </w:r>
      <w:r>
        <w:t xml:space="preserve">shares repurchased</w:t>
      </w:r>
    </w:p>
    <w:p>
      <w:pPr>
        <w:pStyle w:val="Compact"/>
        <w:numPr>
          <w:ilvl w:val="0"/>
          <w:numId w:val="1010"/>
        </w:numPr>
      </w:pPr>
      <w:r>
        <w:t xml:space="preserve">Quarterly common dividend increased</w:t>
      </w:r>
      <w:r>
        <w:t xml:space="preserve"> </w:t>
      </w:r>
      <w:r>
        <w:rPr>
          <w:b/>
          <w:bCs/>
        </w:rPr>
        <w:t xml:space="preserve">19%</w:t>
      </w:r>
      <w:r>
        <w:t xml:space="preserve"> </w:t>
      </w:r>
      <w:r>
        <w:t xml:space="preserve">to</w:t>
      </w:r>
      <w:r>
        <w:t xml:space="preserve"> </w:t>
      </w:r>
      <w:r>
        <w:rPr>
          <w:b/>
          <w:bCs/>
        </w:rPr>
        <w:t xml:space="preserve">$0.32</w:t>
      </w:r>
    </w:p>
    <w:p>
      <w:pPr>
        <w:pStyle w:val="Compact"/>
        <w:numPr>
          <w:ilvl w:val="0"/>
          <w:numId w:val="1010"/>
        </w:numPr>
      </w:pPr>
      <w:r>
        <w:t xml:space="preserve">Adjusted Tier 1 leverage ratio ended at</w:t>
      </w:r>
      <w:r>
        <w:t xml:space="preserve"> </w:t>
      </w:r>
      <w:r>
        <w:rPr>
          <w:b/>
          <w:bCs/>
        </w:rPr>
        <w:t xml:space="preserve">6.8%</w:t>
      </w:r>
      <w:r>
        <w:t xml:space="preserve">, within the company’s 6.75%–7.0% objective range</w:t>
      </w:r>
    </w:p>
    <w:p>
      <w:pPr>
        <w:pStyle w:val="FirstParagraph"/>
      </w:pPr>
      <w:r>
        <w:t xml:space="preserve">For 2Q, investors should look for buyback cadence, capital-ratio direction, debt/preferred-security decisions, and management’s willingness to continue allocating excess capital to repurchases while funding lending and organic growth.</w:t>
      </w:r>
    </w:p>
    <w:p>
      <w:pPr>
        <w:pStyle w:val="BodyText"/>
      </w:pPr>
      <w:r>
        <w:t xml:space="preserve">A sustained high level of buyback activity would be an additional support to EPS growth and the valuation.</w:t>
      </w:r>
    </w:p>
    <w:p>
      <w:r>
        <w:pict>
          <v:rect style="width:0;height:1.5pt" o:hralign="center" o:hrstd="t" o:hr="t"/>
        </w:pict>
      </w:r>
    </w:p>
    <w:bookmarkEnd w:id="16"/>
    <w:bookmarkStart w:id="17" w:name="potential-upside-catalysts"/>
    <w:p>
      <w:pPr>
        <w:pStyle w:val="Heading2"/>
      </w:pPr>
      <w:r>
        <w:t xml:space="preserve">Potential upside catalysts</w:t>
      </w:r>
    </w:p>
    <w:p>
      <w:pPr>
        <w:pStyle w:val="Compact"/>
        <w:numPr>
          <w:ilvl w:val="0"/>
          <w:numId w:val="1011"/>
        </w:numPr>
      </w:pPr>
      <w:r>
        <w:rPr>
          <w:b/>
          <w:bCs/>
        </w:rPr>
        <w:t xml:space="preserve">EPS and revenue beat with a raised 2026 earnings outlook</w:t>
      </w:r>
    </w:p>
    <w:p>
      <w:pPr>
        <w:pStyle w:val="Compact"/>
        <w:numPr>
          <w:ilvl w:val="0"/>
          <w:numId w:val="1011"/>
        </w:numPr>
      </w:pPr>
      <w:r>
        <w:rPr>
          <w:b/>
          <w:bCs/>
        </w:rPr>
        <w:t xml:space="preserve">NIM above expectations</w:t>
      </w:r>
      <w:r>
        <w:t xml:space="preserve"> </w:t>
      </w:r>
      <w:r>
        <w:t xml:space="preserve">and an improved exit-rate outlook</w:t>
      </w:r>
    </w:p>
    <w:p>
      <w:pPr>
        <w:pStyle w:val="Compact"/>
        <w:numPr>
          <w:ilvl w:val="0"/>
          <w:numId w:val="1011"/>
        </w:numPr>
      </w:pPr>
      <w:r>
        <w:rPr>
          <w:b/>
          <w:bCs/>
        </w:rPr>
        <w:t xml:space="preserve">Core NNA that confirms broad-based retail and RIA strength</w:t>
      </w:r>
    </w:p>
    <w:p>
      <w:pPr>
        <w:pStyle w:val="Compact"/>
        <w:numPr>
          <w:ilvl w:val="0"/>
          <w:numId w:val="1011"/>
        </w:numPr>
      </w:pPr>
      <w:r>
        <w:rPr>
          <w:b/>
          <w:bCs/>
        </w:rPr>
        <w:t xml:space="preserve">Another quarter of double-digit managed-investing and lending growth</w:t>
      </w:r>
    </w:p>
    <w:p>
      <w:pPr>
        <w:pStyle w:val="Compact"/>
        <w:numPr>
          <w:ilvl w:val="0"/>
          <w:numId w:val="1011"/>
        </w:numPr>
      </w:pPr>
      <w:r>
        <w:rPr>
          <w:b/>
          <w:bCs/>
        </w:rPr>
        <w:t xml:space="preserve">Strong trading revenue without incremental deterioration in revenue per trade</w:t>
      </w:r>
    </w:p>
    <w:p>
      <w:pPr>
        <w:pStyle w:val="Compact"/>
        <w:numPr>
          <w:ilvl w:val="0"/>
          <w:numId w:val="1011"/>
        </w:numPr>
      </w:pPr>
      <w:r>
        <w:rPr>
          <w:b/>
          <w:bCs/>
        </w:rPr>
        <w:t xml:space="preserve">Stable client-cash trends</w:t>
      </w:r>
      <w:r>
        <w:t xml:space="preserve"> </w:t>
      </w:r>
      <w:r>
        <w:t xml:space="preserve">and a firm response to cash-optimization concerns</w:t>
      </w:r>
    </w:p>
    <w:p>
      <w:pPr>
        <w:pStyle w:val="Compact"/>
        <w:numPr>
          <w:ilvl w:val="0"/>
          <w:numId w:val="1011"/>
        </w:numPr>
      </w:pPr>
      <w:r>
        <w:rPr>
          <w:b/>
          <w:bCs/>
        </w:rPr>
        <w:t xml:space="preserve">Continued aggressive buybacks</w:t>
      </w:r>
    </w:p>
    <w:p>
      <w:pPr>
        <w:pStyle w:val="Compact"/>
        <w:numPr>
          <w:ilvl w:val="0"/>
          <w:numId w:val="1011"/>
        </w:numPr>
      </w:pPr>
      <w:r>
        <w:t xml:space="preserve">Further detail on ETF monetization, crypto rollout, Forge/private-markets integration, or AI-enabled advice and service capabilities</w:t>
      </w:r>
    </w:p>
    <w:p>
      <w:r>
        <w:pict>
          <v:rect style="width:0;height:1.5pt" o:hralign="center" o:hrstd="t" o:hr="t"/>
        </w:pict>
      </w:r>
    </w:p>
    <w:bookmarkEnd w:id="17"/>
    <w:bookmarkStart w:id="18" w:name="principal-risks-into-the-print"/>
    <w:p>
      <w:pPr>
        <w:pStyle w:val="Heading2"/>
      </w:pPr>
      <w:r>
        <w:t xml:space="preserve">Principal risks into the print</w:t>
      </w:r>
    </w:p>
    <w:p>
      <w:pPr>
        <w:pStyle w:val="Compact"/>
        <w:numPr>
          <w:ilvl w:val="0"/>
          <w:numId w:val="1012"/>
        </w:numPr>
      </w:pPr>
      <w:r>
        <w:rPr>
          <w:b/>
          <w:bCs/>
        </w:rPr>
        <w:t xml:space="preserve">A high investor bar:</w:t>
      </w:r>
      <w:r>
        <w:t xml:space="preserve"> </w:t>
      </w:r>
      <w:r>
        <w:t xml:space="preserve">shares have rallied more than 11% in roughly a month.</w:t>
      </w:r>
    </w:p>
    <w:p>
      <w:pPr>
        <w:pStyle w:val="Compact"/>
        <w:numPr>
          <w:ilvl w:val="0"/>
          <w:numId w:val="1012"/>
        </w:numPr>
      </w:pPr>
      <w:r>
        <w:rPr>
          <w:b/>
          <w:bCs/>
        </w:rPr>
        <w:t xml:space="preserve">NIM disappointment:</w:t>
      </w:r>
      <w:r>
        <w:t xml:space="preserve"> </w:t>
      </w:r>
      <w:r>
        <w:t xml:space="preserve">seasonal cash outflows, lower yields, or an unfavorable asset mix could reduce earnings upside.</w:t>
      </w:r>
    </w:p>
    <w:p>
      <w:pPr>
        <w:pStyle w:val="Compact"/>
        <w:numPr>
          <w:ilvl w:val="0"/>
          <w:numId w:val="1012"/>
        </w:numPr>
      </w:pPr>
      <w:r>
        <w:rPr>
          <w:b/>
          <w:bCs/>
        </w:rPr>
        <w:t xml:space="preserve">Cash-economics concern:</w:t>
      </w:r>
      <w:r>
        <w:t xml:space="preserve"> </w:t>
      </w:r>
      <w:r>
        <w:t xml:space="preserve">even without immediate financial impact, unfavorable client-cash trends or competitive commentary could pressure the multiple.</w:t>
      </w:r>
    </w:p>
    <w:p>
      <w:pPr>
        <w:pStyle w:val="Compact"/>
        <w:numPr>
          <w:ilvl w:val="0"/>
          <w:numId w:val="1012"/>
        </w:numPr>
      </w:pPr>
      <w:r>
        <w:rPr>
          <w:b/>
          <w:bCs/>
        </w:rPr>
        <w:t xml:space="preserve">Trading monetization:</w:t>
      </w:r>
      <w:r>
        <w:t xml:space="preserve"> </w:t>
      </w:r>
      <w:r>
        <w:t xml:space="preserve">a strong DAT number may not translate proportionately into revenue if trade sizes remain small.</w:t>
      </w:r>
    </w:p>
    <w:p>
      <w:pPr>
        <w:pStyle w:val="Compact"/>
        <w:numPr>
          <w:ilvl w:val="0"/>
          <w:numId w:val="1012"/>
        </w:numPr>
      </w:pPr>
      <w:r>
        <w:rPr>
          <w:b/>
          <w:bCs/>
        </w:rPr>
        <w:t xml:space="preserve">Market-sensitive fee revenue:</w:t>
      </w:r>
      <w:r>
        <w:t xml:space="preserve"> </w:t>
      </w:r>
      <w:r>
        <w:t xml:space="preserve">weaker equity markets would pressure client assets and asset-management fees.</w:t>
      </w:r>
    </w:p>
    <w:p>
      <w:pPr>
        <w:pStyle w:val="Compact"/>
        <w:numPr>
          <w:ilvl w:val="0"/>
          <w:numId w:val="1012"/>
        </w:numPr>
      </w:pPr>
      <w:r>
        <w:rPr>
          <w:b/>
          <w:bCs/>
        </w:rPr>
        <w:t xml:space="preserve">Expense creep:</w:t>
      </w:r>
      <w:r>
        <w:t xml:space="preserve"> </w:t>
      </w:r>
      <w:r>
        <w:t xml:space="preserve">hiring in wealth, branches, technology, AI, and product initiatives could dilute operating leverage if revenue growth moderates.</w:t>
      </w:r>
    </w:p>
    <w:p>
      <w:pPr>
        <w:pStyle w:val="Compact"/>
        <w:numPr>
          <w:ilvl w:val="0"/>
          <w:numId w:val="1012"/>
        </w:numPr>
      </w:pPr>
      <w:r>
        <w:rPr>
          <w:b/>
          <w:bCs/>
        </w:rPr>
        <w:t xml:space="preserve">Execution risk in new initiatives:</w:t>
      </w:r>
      <w:r>
        <w:t xml:space="preserve"> </w:t>
      </w:r>
      <w:r>
        <w:t xml:space="preserve">crypto, private markets through Forge, AI tools, wealth-tech integrations, and RIA monetization all create opportunity but also require disciplined implementation.</w:t>
      </w:r>
    </w:p>
    <w:p>
      <w:r>
        <w:pict>
          <v:rect style="width:0;height:1.5pt" o:hralign="center" o:hrstd="t" o:hr="t"/>
        </w:pict>
      </w:r>
    </w:p>
    <w:bookmarkEnd w:id="18"/>
    <w:bookmarkStart w:id="19" w:name="earnings-call-questions-that-matter"/>
    <w:p>
      <w:pPr>
        <w:pStyle w:val="Heading2"/>
      </w:pPr>
      <w:r>
        <w:t xml:space="preserve">Earnings-call questions that matter</w:t>
      </w:r>
    </w:p>
    <w:p>
      <w:pPr>
        <w:pStyle w:val="Compact"/>
        <w:numPr>
          <w:ilvl w:val="0"/>
          <w:numId w:val="1013"/>
        </w:numPr>
      </w:pPr>
      <w:r>
        <w:t xml:space="preserve">What were April, May, and June core NNA trends, and how broad-based were they across retail and Advisor Services?</w:t>
      </w:r>
    </w:p>
    <w:p>
      <w:pPr>
        <w:pStyle w:val="Compact"/>
        <w:numPr>
          <w:ilvl w:val="0"/>
          <w:numId w:val="1013"/>
        </w:numPr>
      </w:pPr>
      <w:r>
        <w:t xml:space="preserve">What does management now expect for 2026 NIM and average interest-earning assets?</w:t>
      </w:r>
    </w:p>
    <w:p>
      <w:pPr>
        <w:pStyle w:val="Compact"/>
        <w:numPr>
          <w:ilvl w:val="0"/>
          <w:numId w:val="1013"/>
        </w:numPr>
      </w:pPr>
      <w:r>
        <w:t xml:space="preserve">How did transactional sweep cash, money-market assets, and tax-season outflows evolve through the quarter?</w:t>
      </w:r>
    </w:p>
    <w:p>
      <w:pPr>
        <w:pStyle w:val="Compact"/>
        <w:numPr>
          <w:ilvl w:val="0"/>
          <w:numId w:val="1013"/>
        </w:numPr>
      </w:pPr>
      <w:r>
        <w:t xml:space="preserve">Is 2Q trading activity translating into higher trading revenue, or is trade mix still pressuring revenue per trade?</w:t>
      </w:r>
    </w:p>
    <w:p>
      <w:pPr>
        <w:pStyle w:val="Compact"/>
        <w:numPr>
          <w:ilvl w:val="0"/>
          <w:numId w:val="1013"/>
        </w:numPr>
      </w:pPr>
      <w:r>
        <w:t xml:space="preserve">What are the latest flow and asset trends in Schwab Wealth Advisory and managed investing?</w:t>
      </w:r>
    </w:p>
    <w:p>
      <w:pPr>
        <w:pStyle w:val="Compact"/>
        <w:numPr>
          <w:ilvl w:val="0"/>
          <w:numId w:val="1013"/>
        </w:numPr>
      </w:pPr>
      <w:r>
        <w:t xml:space="preserve">How quickly are structured asset lines and other RIA lending offerings scaling?</w:t>
      </w:r>
    </w:p>
    <w:p>
      <w:pPr>
        <w:pStyle w:val="Compact"/>
        <w:numPr>
          <w:ilvl w:val="0"/>
          <w:numId w:val="1013"/>
        </w:numPr>
      </w:pPr>
      <w:r>
        <w:t xml:space="preserve">What is the expected timing and earnings contribution of ETF monetization?</w:t>
      </w:r>
    </w:p>
    <w:p>
      <w:pPr>
        <w:pStyle w:val="Compact"/>
        <w:numPr>
          <w:ilvl w:val="0"/>
          <w:numId w:val="1013"/>
        </w:numPr>
      </w:pPr>
      <w:r>
        <w:t xml:space="preserve">Has the market’s discussion of AI-based cash optimization changed client behavior in any measurable way?</w:t>
      </w:r>
    </w:p>
    <w:p>
      <w:pPr>
        <w:pStyle w:val="Compact"/>
        <w:numPr>
          <w:ilvl w:val="0"/>
          <w:numId w:val="1013"/>
        </w:numPr>
      </w:pPr>
      <w:r>
        <w:t xml:space="preserve">What level of buybacks should investors expect if capital ratios remain within the company’s target range?</w:t>
      </w:r>
    </w:p>
    <w:p>
      <w:pPr>
        <w:pStyle w:val="Compact"/>
        <w:numPr>
          <w:ilvl w:val="0"/>
          <w:numId w:val="1013"/>
        </w:numPr>
      </w:pPr>
      <w:r>
        <w:t xml:space="preserve">When should investors expect meaningful revenue contributions from Forge, crypto, workplace growth, and AI-enabled paid capabilities?</w:t>
      </w:r>
    </w:p>
    <w:p>
      <w:r>
        <w:pict>
          <v:rect style="width:0;height:1.5pt" o:hralign="center" o:hrstd="t" o:hr="t"/>
        </w:pict>
      </w:r>
    </w:p>
    <w:bookmarkEnd w:id="19"/>
    <w:bookmarkStart w:id="20" w:name="investment-view-going-into-results"/>
    <w:p>
      <w:pPr>
        <w:pStyle w:val="Heading2"/>
      </w:pPr>
      <w:r>
        <w:t xml:space="preserve">Investment view going into results</w:t>
      </w:r>
    </w:p>
    <w:p>
      <w:pPr>
        <w:pStyle w:val="FirstParagraph"/>
      </w:pPr>
      <w:r>
        <w:t xml:space="preserve">SCHW is set up as a</w:t>
      </w:r>
      <w:r>
        <w:t xml:space="preserve"> </w:t>
      </w:r>
      <w:r>
        <w:rPr>
          <w:b/>
          <w:bCs/>
        </w:rPr>
        <w:t xml:space="preserve">quality-growth financial-services story with a near-term earnings catalyst</w:t>
      </w:r>
      <w:r>
        <w:t xml:space="preserve">. Its core operating indicators—asset gathering, account growth, trading activity, lending, wealth flows, and capital return—were all unusually strong in 1Q. The best outcome for shareholders is a report showing that this strength extended through 2Q, paired with a higher 2026 earnings outlook and no evidence that client-cash economics are deteriorating.</w:t>
      </w:r>
    </w:p>
    <w:p>
      <w:pPr>
        <w:pStyle w:val="BodyText"/>
      </w:pPr>
      <w:r>
        <w:t xml:space="preserve">The key risk is that much of the good news may already be reflected in the recent share-price move. Therefore, the most constructive result is not merely a consensus beat; it is a beat supported by</w:t>
      </w:r>
      <w:r>
        <w:t xml:space="preserve"> </w:t>
      </w:r>
      <w:r>
        <w:rPr>
          <w:b/>
          <w:bCs/>
        </w:rPr>
        <w:t xml:space="preserve">durable NIM, recurring-fee growth, continued asset gathering, and confident commentary on cash and capital return</w:t>
      </w:r>
      <w:r>
        <w:t xml:space="preserve">.</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2026-07-21T00:21:52Z</dcterms:created>
  <dcterms:modified xsi:type="dcterms:W3CDTF">2026-07-21T00:21:52Z</dcterms:modified>
</cp:coreProperties>
</file>

<file path=docProps/custom.xml><?xml version="1.0" encoding="utf-8"?>
<Properties xmlns="http://schemas.openxmlformats.org/officeDocument/2006/custom-properties" xmlns:vt="http://schemas.openxmlformats.org/officeDocument/2006/docPropsVTypes"/>
</file>