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Charles Schwab Corporation (SCHW)</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Ticker</w:t>
            </w:r>
          </w:p>
        </w:tc>
        <w:tc>
          <w:tcPr>
            <w:tcW w:type="dxa" w:w="1440"/>
          </w:tcPr>
          <w:p>
            <w:r>
              <w:rPr>
                <w:rFonts w:ascii="Calibri" w:hAnsi="Calibri"/>
                <w:sz w:val="22"/>
              </w:rPr>
              <w:t>SCHW</w:t>
            </w:r>
          </w:p>
        </w:tc>
        <w:tc>
          <w:tcPr>
            <w:tcW w:type="dxa" w:w="1440"/>
          </w:tcPr>
          <w:p>
            <w:r>
              <w:rPr>
                <w:rFonts w:ascii="Calibri" w:hAnsi="Calibri"/>
                <w:b/>
                <w:sz w:val="22"/>
              </w:rPr>
              <w:t>Earnings Date</w:t>
            </w:r>
          </w:p>
        </w:tc>
        <w:tc>
          <w:tcPr>
            <w:tcW w:type="dxa" w:w="1440"/>
          </w:tcPr>
          <w:p>
            <w:r>
              <w:rPr>
                <w:rFonts w:ascii="Calibri" w:hAnsi="Calibri"/>
                <w:sz w:val="22"/>
              </w:rPr>
              <w:t>July 21, 2026 (Pre-Market)</w:t>
            </w:r>
          </w:p>
        </w:tc>
        <w:tc>
          <w:tcPr>
            <w:tcW w:type="dxa" w:w="1440"/>
          </w:tcPr>
          <w:p>
            <w:r>
              <w:rPr>
                <w:rFonts w:ascii="Calibri" w:hAnsi="Calibri"/>
                <w:b/>
                <w:sz w:val="22"/>
              </w:rPr>
              <w:t>Prepared</w:t>
            </w:r>
          </w:p>
        </w:tc>
        <w:tc>
          <w:tcPr>
            <w:tcW w:type="dxa" w:w="1440"/>
          </w:tcPr>
          <w:p>
            <w:r>
              <w:rPr>
                <w:rFonts w:ascii="Calibri" w:hAnsi="Calibri"/>
                <w:sz w:val="22"/>
              </w:rPr>
              <w:t>July 20, 2026</w:t>
            </w:r>
          </w:p>
        </w:tc>
      </w:tr>
      <w:tr>
        <w:tc>
          <w:tcPr>
            <w:tcW w:type="dxa" w:w="1440"/>
          </w:tcPr>
          <w:p>
            <w:r>
              <w:rPr>
                <w:rFonts w:ascii="Calibri" w:hAnsi="Calibri"/>
                <w:b/>
                <w:sz w:val="22"/>
              </w:rPr>
              <w:t>Reporting Period</w:t>
            </w:r>
          </w:p>
        </w:tc>
        <w:tc>
          <w:tcPr>
            <w:tcW w:type="dxa" w:w="1440"/>
          </w:tcPr>
          <w:p>
            <w:r>
              <w:rPr>
                <w:rFonts w:ascii="Calibri" w:hAnsi="Calibri"/>
                <w:sz w:val="22"/>
              </w:rPr>
              <w:t>Q2 2026 (Apr–Jun 2026)</w:t>
            </w:r>
          </w:p>
        </w:tc>
        <w:tc>
          <w:tcPr>
            <w:tcW w:type="dxa" w:w="1440"/>
          </w:tcPr>
          <w:p>
            <w:r>
              <w:rPr>
                <w:rFonts w:ascii="Calibri" w:hAnsi="Calibri"/>
                <w:b/>
                <w:sz w:val="22"/>
              </w:rPr>
              <w:t>Last Earnings</w:t>
            </w:r>
          </w:p>
        </w:tc>
        <w:tc>
          <w:tcPr>
            <w:tcW w:type="dxa" w:w="1440"/>
          </w:tcPr>
          <w:p>
            <w:r>
              <w:rPr>
                <w:rFonts w:ascii="Calibri" w:hAnsi="Calibri"/>
                <w:sz w:val="22"/>
              </w:rPr>
              <w:t>April 16, 2026 (Q1 2026)</w:t>
            </w:r>
          </w:p>
        </w:tc>
        <w:tc>
          <w:tcPr>
            <w:tcW w:type="dxa" w:w="1440"/>
          </w:tcPr>
          <w:p>
            <w:r>
              <w:rPr>
                <w:rFonts w:ascii="Calibri" w:hAnsi="Calibri"/>
                <w:b/>
                <w:sz w:val="22"/>
              </w:rPr>
              <w:t>Sector ETF</w:t>
            </w:r>
          </w:p>
        </w:tc>
        <w:tc>
          <w:tcPr>
            <w:tcW w:type="dxa" w:w="1440"/>
          </w:tcPr>
          <w:p>
            <w:r>
              <w:rPr>
                <w:rFonts w:ascii="Calibri" w:hAnsi="Calibri"/>
                <w:sz w:val="22"/>
              </w:rPr>
              <w:t>KBE (S&amp;P Bank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has moved materially higher since the Q1 print, management's May Investor Day scenario pointed to ~$1.50 EPS for the quarter, and the macro backdrop (no rate cuts, record trading volumes, strong asset flows at peers) is a tailwind — but the bar is now meaningfully elevated and the stock has already rallied ~11% since last earnings, leaving little room for disappointment on NIM or NNA.</w:t>
      </w:r>
    </w:p>
    <w:p>
      <w:r>
        <w:rPr>
          <w:rFonts w:ascii="Calibri" w:hAnsi="Calibri"/>
          <w:color w:val="525866"/>
          <w:sz w:val="22"/>
        </w:rPr>
        <w:t xml:space="preserve">Heading into Q2 2026 earnings, Schwab's setup is arguably the strongest it has been in several years, with every major revenue driver — net interest income, trading, asset management fees, and lending — trending above the prior-year period. </w:t>
      </w:r>
      <w:r>
        <w:rPr>
          <w:rFonts w:ascii="Calibri" w:hAnsi="Calibri"/>
          <w:b/>
          <w:color w:val="525866"/>
          <w:sz w:val="22"/>
        </w:rPr>
        <w:t>Management's May 14 Investor Day explicitly guided Q2 EPS to "around the $1.50 level,"</w:t>
      </w:r>
      <w:r>
        <w:rPr>
          <w:rFonts w:ascii="Calibri" w:hAnsi="Calibri"/>
          <w:color w:val="525866"/>
          <w:sz w:val="22"/>
        </w:rPr>
        <w:t xml:space="preserve"> implying ~5% upside to the $1.43 Q1 record, and the current consensus of ~$1.55 sits modestly above that scenario, suggesting the Street has already baked in some outperformance. The rate backdrop has shifted favorably — the market is now pricing zero cuts versus the two cuts assumed in January — which directly lifts NIM toward the guided 3.00%–3.10% full-year range and supports sequential NII expansion. Peer commentary from JPMorgan, Morgan Stanley, Goldman Sachs, and BlackRock all confirm a record-level Q2 environment for client activity, trading volumes, asset flows, and wealth management, providing strong read-through support for Schwab's NNA and fee revenue lines. The stock has re-rated from ~$92 at the Q1 print to ~$102 today, with multiple expansion accounting for a meaningful portion of the move, so the stock is not cheap heading in. The key wildcard is </w:t>
      </w:r>
      <w:r>
        <w:rPr>
          <w:rFonts w:ascii="Calibri" w:hAnsi="Calibri"/>
          <w:b/>
          <w:color w:val="525866"/>
          <w:sz w:val="22"/>
        </w:rPr>
        <w:t>client cash sweep behavior</w:t>
      </w:r>
      <w:r>
        <w:rPr>
          <w:rFonts w:ascii="Calibri" w:hAnsi="Calibri"/>
          <w:color w:val="525866"/>
          <w:sz w:val="22"/>
        </w:rPr>
        <w:t>: any sign that transactional sweep balances declined more than seasonal tax-payment norms in April, or that competitive pressure from JPMorgan's Smart Cash tool is accelerating cash migration, could rattle NIM expectations and reprise the post-Q1 sell-off dynamic despite a headline beat.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has moved sharply higher since the Q1 print across all key metrics, with Q2 EPS consensus of ~$1.55 sitting above management's own $1.50 scenario — the bar is elevated. </w:t>
      </w:r>
      <w:r>
        <w:rPr>
          <w:rFonts w:ascii="Calibri" w:hAnsi="Calibri"/>
          <w:b/>
          <w:color w:val="525866"/>
          <w:sz w:val="22"/>
        </w:rPr>
        <w:t>NIM and Core NNA are the two biggest swing factors</w:t>
      </w:r>
      <w:r>
        <w:rPr>
          <w:rFonts w:ascii="Calibri" w:hAnsi="Calibri"/>
          <w:color w:val="525866"/>
          <w:sz w:val="22"/>
        </w:rPr>
        <w:t>: NIM trajectory determines whether the NII beat is durable, while NNA momentum (consensus at ~$108B) will signal whether the 5% organic growth target is on track.</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(May 14 Investor Day)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(Diluted Operating)</w:t>
            </w:r>
          </w:p>
        </w:tc>
        <w:tc>
          <w:tcPr>
            <w:tcW w:type="dxa" w:w="1234"/>
          </w:tcPr>
          <w:p>
            <w:r>
              <w:rPr>
                <w:rFonts w:ascii="Calibri" w:hAnsi="Calibri"/>
                <w:sz w:val="22"/>
              </w:rPr>
              <w:t>$1.43</w:t>
            </w:r>
          </w:p>
        </w:tc>
        <w:tc>
          <w:tcPr>
            <w:tcW w:type="dxa" w:w="1234"/>
          </w:tcPr>
          <w:p>
            <w:r>
              <w:rPr>
                <w:rFonts w:ascii="Calibri" w:hAnsi="Calibri"/>
                <w:sz w:val="22"/>
              </w:rPr>
              <w:t>$1.14</w:t>
            </w:r>
          </w:p>
        </w:tc>
        <w:tc>
          <w:tcPr>
            <w:tcW w:type="dxa" w:w="1234"/>
          </w:tcPr>
          <w:p>
            <w:r>
              <w:rPr>
                <w:rFonts w:ascii="Calibri" w:hAnsi="Calibri"/>
                <w:sz w:val="22"/>
              </w:rPr>
              <w:t>$1.55</w:t>
            </w:r>
          </w:p>
        </w:tc>
        <w:tc>
          <w:tcPr>
            <w:tcW w:type="dxa" w:w="1234"/>
          </w:tcPr>
          <w:p>
            <w:r>
              <w:rPr>
                <w:rFonts w:ascii="Calibri" w:hAnsi="Calibri"/>
                <w:sz w:val="22"/>
              </w:rPr>
              <w:t>+36% YoY</w:t>
            </w:r>
          </w:p>
        </w:tc>
        <w:tc>
          <w:tcPr>
            <w:tcW w:type="dxa" w:w="1234"/>
          </w:tcPr>
          <w:p>
            <w:r>
              <w:rPr>
                <w:rFonts w:ascii="Calibri" w:hAnsi="Calibri"/>
                <w:sz w:val="22"/>
              </w:rPr>
              <w:t>~$1.50 (scenario)</w:t>
            </w:r>
          </w:p>
        </w:tc>
        <w:tc>
          <w:tcPr>
            <w:tcW w:type="dxa" w:w="1234"/>
          </w:tcPr>
          <w:p>
            <w:r>
              <w:rPr>
                <w:rFonts w:ascii="Calibri" w:hAnsi="Calibri"/>
                <w:sz w:val="22"/>
              </w:rPr>
              <w:t>+3.3% above guidance</w:t>
            </w:r>
          </w:p>
        </w:tc>
      </w:tr>
      <w:tr>
        <w:tc>
          <w:tcPr>
            <w:tcW w:type="dxa" w:w="1234"/>
          </w:tcPr>
          <w:p>
            <w:r>
              <w:rPr>
                <w:rFonts w:ascii="Calibri" w:hAnsi="Calibri"/>
                <w:sz w:val="22"/>
              </w:rPr>
              <w:t>Total Revenue</w:t>
            </w:r>
          </w:p>
        </w:tc>
        <w:tc>
          <w:tcPr>
            <w:tcW w:type="dxa" w:w="1234"/>
          </w:tcPr>
          <w:p>
            <w:r>
              <w:rPr>
                <w:rFonts w:ascii="Calibri" w:hAnsi="Calibri"/>
                <w:sz w:val="22"/>
              </w:rPr>
              <w:t>$6.48B</w:t>
            </w:r>
          </w:p>
        </w:tc>
        <w:tc>
          <w:tcPr>
            <w:tcW w:type="dxa" w:w="1234"/>
          </w:tcPr>
          <w:p>
            <w:r>
              <w:rPr>
                <w:rFonts w:ascii="Calibri" w:hAnsi="Calibri"/>
                <w:sz w:val="22"/>
              </w:rPr>
              <w:t>$5.85B</w:t>
            </w:r>
          </w:p>
        </w:tc>
        <w:tc>
          <w:tcPr>
            <w:tcW w:type="dxa" w:w="1234"/>
          </w:tcPr>
          <w:p>
            <w:r>
              <w:rPr>
                <w:rFonts w:ascii="Calibri" w:hAnsi="Calibri"/>
                <w:sz w:val="22"/>
              </w:rPr>
              <w:t>$6.91B</w:t>
            </w:r>
          </w:p>
        </w:tc>
        <w:tc>
          <w:tcPr>
            <w:tcW w:type="dxa" w:w="1234"/>
          </w:tcPr>
          <w:p>
            <w:r>
              <w:rPr>
                <w:rFonts w:ascii="Calibri" w:hAnsi="Calibri"/>
                <w:sz w:val="22"/>
              </w:rPr>
              <w:t>+18% YoY</w:t>
            </w:r>
          </w:p>
        </w:tc>
        <w:tc>
          <w:tcPr>
            <w:tcW w:type="dxa" w:w="1234"/>
          </w:tcPr>
          <w:p>
            <w:r>
              <w:rPr>
                <w:rFonts w:ascii="Calibri" w:hAnsi="Calibri"/>
                <w:sz w:val="22"/>
              </w:rPr>
              <w:t>+16% to +17% YoY</w:t>
            </w:r>
          </w:p>
        </w:tc>
        <w:tc>
          <w:tcPr>
            <w:tcW w:type="dxa" w:w="1234"/>
          </w:tcPr>
          <w:p>
            <w:r>
              <w:rPr>
                <w:rFonts w:ascii="Calibri" w:hAnsi="Calibri"/>
                <w:sz w:val="22"/>
              </w:rPr>
              <w:t>~+1% above guidance midpoint</w:t>
            </w:r>
          </w:p>
        </w:tc>
      </w:tr>
      <w:tr>
        <w:tc>
          <w:tcPr>
            <w:tcW w:type="dxa" w:w="1234"/>
          </w:tcPr>
          <w:p>
            <w:r>
              <w:rPr>
                <w:rFonts w:ascii="Calibri" w:hAnsi="Calibri"/>
                <w:sz w:val="22"/>
              </w:rPr>
              <w:t>Net Interest Revenue</w:t>
            </w:r>
          </w:p>
        </w:tc>
        <w:tc>
          <w:tcPr>
            <w:tcW w:type="dxa" w:w="1234"/>
          </w:tcPr>
          <w:p>
            <w:r>
              <w:rPr>
                <w:rFonts w:ascii="Calibri" w:hAnsi="Calibri"/>
                <w:sz w:val="22"/>
              </w:rPr>
              <w:t>$3.14B</w:t>
            </w:r>
          </w:p>
        </w:tc>
        <w:tc>
          <w:tcPr>
            <w:tcW w:type="dxa" w:w="1234"/>
          </w:tcPr>
          <w:p>
            <w:r>
              <w:rPr>
                <w:rFonts w:ascii="Calibri" w:hAnsi="Calibri"/>
                <w:sz w:val="22"/>
              </w:rPr>
              <w:t>$2.82B</w:t>
            </w:r>
          </w:p>
        </w:tc>
        <w:tc>
          <w:tcPr>
            <w:tcW w:type="dxa" w:w="1234"/>
          </w:tcPr>
          <w:p>
            <w:r>
              <w:rPr>
                <w:rFonts w:ascii="Calibri" w:hAnsi="Calibri"/>
                <w:sz w:val="22"/>
              </w:rPr>
              <w:t>$3.31B</w:t>
            </w:r>
          </w:p>
        </w:tc>
        <w:tc>
          <w:tcPr>
            <w:tcW w:type="dxa" w:w="1234"/>
          </w:tcPr>
          <w:p>
            <w:r>
              <w:rPr>
                <w:rFonts w:ascii="Calibri" w:hAnsi="Calibri"/>
                <w:sz w:val="22"/>
              </w:rPr>
              <w:t>+17% YoY</w:t>
            </w:r>
          </w:p>
        </w:tc>
        <w:tc>
          <w:tcPr>
            <w:tcW w:type="dxa" w:w="1234"/>
          </w:tcPr>
          <w:p>
            <w:r>
              <w:rPr>
                <w:rFonts w:ascii="Calibri" w:hAnsi="Calibri"/>
                <w:sz w:val="22"/>
              </w:rPr>
              <w:t>NIM 3.00%–3.10% FY avg.</w:t>
            </w:r>
          </w:p>
        </w:tc>
        <w:tc>
          <w:tcPr>
            <w:tcW w:type="dxa" w:w="1234"/>
          </w:tcPr>
          <w:p>
            <w:r>
              <w:rPr>
                <w:rFonts w:ascii="Calibri" w:hAnsi="Calibri"/>
                <w:sz w:val="22"/>
              </w:rPr>
              <w:t>Tracking above FY midpoint</w:t>
            </w:r>
          </w:p>
        </w:tc>
      </w:tr>
      <w:tr>
        <w:tc>
          <w:tcPr>
            <w:tcW w:type="dxa" w:w="1234"/>
          </w:tcPr>
          <w:p>
            <w:r>
              <w:rPr>
                <w:rFonts w:ascii="Calibri" w:hAnsi="Calibri"/>
                <w:sz w:val="22"/>
              </w:rPr>
              <w:t>Net Interest Margin (NIM)</w:t>
            </w:r>
          </w:p>
        </w:tc>
        <w:tc>
          <w:tcPr>
            <w:tcW w:type="dxa" w:w="1234"/>
          </w:tcPr>
          <w:p>
            <w:r>
              <w:rPr>
                <w:rFonts w:ascii="Calibri" w:hAnsi="Calibri"/>
                <w:sz w:val="22"/>
              </w:rPr>
              <w:t>2.88%</w:t>
            </w:r>
          </w:p>
        </w:tc>
        <w:tc>
          <w:tcPr>
            <w:tcW w:type="dxa" w:w="1234"/>
          </w:tcPr>
          <w:p>
            <w:r>
              <w:rPr>
                <w:rFonts w:ascii="Calibri" w:hAnsi="Calibri"/>
                <w:sz w:val="22"/>
              </w:rPr>
              <w:t>2.68%</w:t>
            </w:r>
          </w:p>
        </w:tc>
        <w:tc>
          <w:tcPr>
            <w:tcW w:type="dxa" w:w="1234"/>
          </w:tcPr>
          <w:p>
            <w:r>
              <w:rPr>
                <w:rFonts w:ascii="Calibri" w:hAnsi="Calibri"/>
                <w:sz w:val="22"/>
              </w:rPr>
              <w:t>2.98%</w:t>
            </w:r>
          </w:p>
        </w:tc>
        <w:tc>
          <w:tcPr>
            <w:tcW w:type="dxa" w:w="1234"/>
          </w:tcPr>
          <w:p>
            <w:r>
              <w:rPr>
                <w:rFonts w:ascii="Calibri" w:hAnsi="Calibri"/>
                <w:sz w:val="22"/>
              </w:rPr>
              <w:t>+30 bps YoY</w:t>
            </w:r>
          </w:p>
        </w:tc>
        <w:tc>
          <w:tcPr>
            <w:tcW w:type="dxa" w:w="1234"/>
          </w:tcPr>
          <w:p>
            <w:r>
              <w:rPr>
                <w:rFonts w:ascii="Calibri" w:hAnsi="Calibri"/>
                <w:sz w:val="22"/>
              </w:rPr>
              <w:t>3.00%–3.10% FY; 3.25%–3.30% in 4Q</w:t>
            </w:r>
          </w:p>
        </w:tc>
        <w:tc>
          <w:tcPr>
            <w:tcW w:type="dxa" w:w="1234"/>
          </w:tcPr>
          <w:p>
            <w:r>
              <w:rPr>
                <w:rFonts w:ascii="Calibri" w:hAnsi="Calibri"/>
                <w:sz w:val="22"/>
              </w:rPr>
              <w:t>~2 bps below FY low end</w:t>
            </w:r>
          </w:p>
        </w:tc>
      </w:tr>
      <w:tr>
        <w:tc>
          <w:tcPr>
            <w:tcW w:type="dxa" w:w="1234"/>
          </w:tcPr>
          <w:p>
            <w:r>
              <w:rPr>
                <w:rFonts w:ascii="Calibri" w:hAnsi="Calibri"/>
                <w:sz w:val="22"/>
              </w:rPr>
              <w:t>Core Net New Assets (NNA)</w:t>
            </w:r>
          </w:p>
        </w:tc>
        <w:tc>
          <w:tcPr>
            <w:tcW w:type="dxa" w:w="1234"/>
          </w:tcPr>
          <w:p>
            <w:r>
              <w:rPr>
                <w:rFonts w:ascii="Calibri" w:hAnsi="Calibri"/>
                <w:sz w:val="22"/>
              </w:rPr>
              <w:t>$140.0B ($157.5B ex-deconversion)</w:t>
            </w:r>
          </w:p>
        </w:tc>
        <w:tc>
          <w:tcPr>
            <w:tcW w:type="dxa" w:w="1234"/>
          </w:tcPr>
          <w:p>
            <w:r>
              <w:rPr>
                <w:rFonts w:ascii="Calibri" w:hAnsi="Calibri"/>
                <w:sz w:val="22"/>
              </w:rPr>
              <w:t>$80.3B</w:t>
            </w:r>
          </w:p>
        </w:tc>
        <w:tc>
          <w:tcPr>
            <w:tcW w:type="dxa" w:w="1234"/>
          </w:tcPr>
          <w:p>
            <w:r>
              <w:rPr>
                <w:rFonts w:ascii="Calibri" w:hAnsi="Calibri"/>
                <w:sz w:val="22"/>
              </w:rPr>
              <w:t>$108.3B</w:t>
            </w:r>
          </w:p>
        </w:tc>
        <w:tc>
          <w:tcPr>
            <w:tcW w:type="dxa" w:w="1234"/>
          </w:tcPr>
          <w:p>
            <w:r>
              <w:rPr>
                <w:rFonts w:ascii="Calibri" w:hAnsi="Calibri"/>
                <w:sz w:val="22"/>
              </w:rPr>
              <w:t>+35% YoY</w:t>
            </w:r>
          </w:p>
        </w:tc>
        <w:tc>
          <w:tcPr>
            <w:tcW w:type="dxa" w:w="1234"/>
          </w:tcPr>
          <w:p>
            <w:r>
              <w:rPr>
                <w:rFonts w:ascii="Calibri" w:hAnsi="Calibri"/>
                <w:sz w:val="22"/>
              </w:rPr>
              <w:t>~5% organic growth rate</w:t>
            </w:r>
          </w:p>
        </w:tc>
        <w:tc>
          <w:tcPr>
            <w:tcW w:type="dxa" w:w="1234"/>
          </w:tcPr>
          <w:p>
            <w:r>
              <w:rPr>
                <w:rFonts w:ascii="Calibri" w:hAnsi="Calibri"/>
                <w:sz w:val="22"/>
              </w:rPr>
              <w:t>Tracking at/above 5% target</w:t>
            </w:r>
          </w:p>
        </w:tc>
      </w:tr>
      <w:tr>
        <w:tc>
          <w:tcPr>
            <w:tcW w:type="dxa" w:w="1234"/>
          </w:tcPr>
          <w:p>
            <w:r>
              <w:rPr>
                <w:rFonts w:ascii="Calibri" w:hAnsi="Calibri"/>
                <w:sz w:val="22"/>
              </w:rPr>
              <w:t>Daily Avg. Trades / DARTs</w:t>
            </w:r>
          </w:p>
        </w:tc>
        <w:tc>
          <w:tcPr>
            <w:tcW w:type="dxa" w:w="1234"/>
          </w:tcPr>
          <w:p>
            <w:r>
              <w:rPr>
                <w:rFonts w:ascii="Calibri" w:hAnsi="Calibri"/>
                <w:sz w:val="22"/>
              </w:rPr>
              <w:t>9.90M (record)</w:t>
            </w:r>
          </w:p>
        </w:tc>
        <w:tc>
          <w:tcPr>
            <w:tcW w:type="dxa" w:w="1234"/>
          </w:tcPr>
          <w:p>
            <w:r>
              <w:rPr>
                <w:rFonts w:ascii="Calibri" w:hAnsi="Calibri"/>
                <w:sz w:val="22"/>
              </w:rPr>
              <w:t>7.57M</w:t>
            </w:r>
          </w:p>
        </w:tc>
        <w:tc>
          <w:tcPr>
            <w:tcW w:type="dxa" w:w="1234"/>
          </w:tcPr>
          <w:p>
            <w:r>
              <w:rPr>
                <w:rFonts w:ascii="Calibri" w:hAnsi="Calibri"/>
                <w:sz w:val="22"/>
              </w:rPr>
              <w:t>11.01M</w:t>
            </w:r>
          </w:p>
        </w:tc>
        <w:tc>
          <w:tcPr>
            <w:tcW w:type="dxa" w:w="1234"/>
          </w:tcPr>
          <w:p>
            <w:r>
              <w:rPr>
                <w:rFonts w:ascii="Calibri" w:hAnsi="Calibri"/>
                <w:sz w:val="22"/>
              </w:rPr>
              <w:t>+45% YoY</w:t>
            </w:r>
          </w:p>
        </w:tc>
        <w:tc>
          <w:tcPr>
            <w:tcW w:type="dxa" w:w="1234"/>
          </w:tcPr>
          <w:p>
            <w:r>
              <w:rPr>
                <w:rFonts w:ascii="Calibri" w:hAnsi="Calibri"/>
                <w:sz w:val="22"/>
              </w:rPr>
              <w:t>8.7M FY avg. (scenario)</w:t>
            </w:r>
          </w:p>
        </w:tc>
        <w:tc>
          <w:tcPr>
            <w:tcW w:type="dxa" w:w="1234"/>
          </w:tcPr>
          <w:p>
            <w:r>
              <w:rPr>
                <w:rFonts w:ascii="Calibri" w:hAnsi="Calibri"/>
                <w:sz w:val="22"/>
              </w:rPr>
              <w:t>+26% above FY scenario</w:t>
            </w:r>
          </w:p>
        </w:tc>
      </w:tr>
      <w:tr>
        <w:tc>
          <w:tcPr>
            <w:tcW w:type="dxa" w:w="1234"/>
          </w:tcPr>
          <w:p>
            <w:r>
              <w:rPr>
                <w:rFonts w:ascii="Calibri" w:hAnsi="Calibri"/>
                <w:sz w:val="22"/>
              </w:rPr>
              <w:t>Total Client Assets</w:t>
            </w:r>
          </w:p>
        </w:tc>
        <w:tc>
          <w:tcPr>
            <w:tcW w:type="dxa" w:w="1234"/>
          </w:tcPr>
          <w:p>
            <w:r>
              <w:rPr>
                <w:rFonts w:ascii="Calibri" w:hAnsi="Calibri"/>
                <w:sz w:val="22"/>
              </w:rPr>
              <w:t>$11.77T</w:t>
            </w:r>
          </w:p>
        </w:tc>
        <w:tc>
          <w:tcPr>
            <w:tcW w:type="dxa" w:w="1234"/>
          </w:tcPr>
          <w:p>
            <w:r>
              <w:rPr>
                <w:rFonts w:ascii="Calibri" w:hAnsi="Calibri"/>
                <w:sz w:val="22"/>
              </w:rPr>
              <w:t>$10.76T</w:t>
            </w:r>
          </w:p>
        </w:tc>
        <w:tc>
          <w:tcPr>
            <w:tcW w:type="dxa" w:w="1234"/>
          </w:tcPr>
          <w:p>
            <w:r>
              <w:rPr>
                <w:rFonts w:ascii="Calibri" w:hAnsi="Calibri"/>
                <w:sz w:val="22"/>
              </w:rPr>
              <w:t>$12.97T</w:t>
            </w:r>
          </w:p>
        </w:tc>
        <w:tc>
          <w:tcPr>
            <w:tcW w:type="dxa" w:w="1234"/>
          </w:tcPr>
          <w:p>
            <w:r>
              <w:rPr>
                <w:rFonts w:ascii="Calibri" w:hAnsi="Calibri"/>
                <w:sz w:val="22"/>
              </w:rPr>
              <w:t>+21% YoY</w:t>
            </w:r>
          </w:p>
        </w:tc>
        <w:tc>
          <w:tcPr>
            <w:tcW w:type="dxa" w:w="1234"/>
          </w:tcPr>
          <w:p>
            <w:r>
              <w:rPr>
                <w:rFonts w:ascii="Calibri" w:hAnsi="Calibri"/>
                <w:sz w:val="22"/>
              </w:rPr>
              <w:t>N/A (not guided explicitly)</w:t>
            </w:r>
          </w:p>
        </w:tc>
        <w:tc>
          <w:tcPr>
            <w:tcW w:type="dxa" w:w="1234"/>
          </w:tcPr>
          <w:p>
            <w:r>
              <w:rPr>
                <w:rFonts w:ascii="Calibri" w:hAnsi="Calibri"/>
                <w:sz w:val="22"/>
              </w:rPr>
              <w:t>N/A</w:t>
            </w:r>
          </w:p>
        </w:tc>
      </w:tr>
    </w:tbl>
    <w:p>
      <w:r>
        <w:rPr>
          <w:rFonts w:ascii="Calibri" w:hAnsi="Calibri"/>
          <w:i/>
          <w:color w:val="525866"/>
          <w:sz w:val="22"/>
        </w:rPr>
        <w:t>Sources: Visible Alpha Consensus and Actuals Data; SCHW Q1 2026 Earnings Release (April 16, 2026); SCHW Institutional Investor Day (May 14, 2026).</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$1.43</w:t>
            </w:r>
          </w:p>
        </w:tc>
        <w:tc>
          <w:tcPr>
            <w:tcW w:type="dxa" w:w="1728"/>
          </w:tcPr>
          <w:p>
            <w:r>
              <w:rPr>
                <w:rFonts w:ascii="Calibri" w:hAnsi="Calibri"/>
                <w:sz w:val="22"/>
              </w:rPr>
              <w:t>$1.40</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$1.39</w:t>
            </w:r>
          </w:p>
        </w:tc>
        <w:tc>
          <w:tcPr>
            <w:tcW w:type="dxa" w:w="1728"/>
          </w:tcPr>
          <w:p>
            <w:r>
              <w:rPr>
                <w:rFonts w:ascii="Calibri" w:hAnsi="Calibri"/>
                <w:sz w:val="22"/>
              </w:rPr>
              <w:t>$1.40</w:t>
            </w:r>
          </w:p>
        </w:tc>
        <w:tc>
          <w:tcPr>
            <w:tcW w:type="dxa" w:w="1728"/>
          </w:tcPr>
          <w:p>
            <w:r>
              <w:rPr>
                <w:rFonts w:ascii="Calibri" w:hAnsi="Calibri"/>
                <w:sz w:val="22"/>
              </w:rPr>
              <w:t>-0.7%</w:t>
            </w:r>
          </w:p>
        </w:tc>
        <w:tc>
          <w:tcPr>
            <w:tcW w:type="dxa" w:w="1728"/>
          </w:tcPr>
          <w:p>
            <w:r>
              <w:rPr>
                <w:rFonts w:ascii="Calibri" w:hAnsi="Calibri"/>
                <w:b/>
                <w:color w:val="E5484D"/>
                <w:sz w:val="22"/>
              </w:rPr>
              <w:t>In-Line / Slight Miss</w:t>
            </w:r>
          </w:p>
        </w:tc>
      </w:tr>
      <w:tr>
        <w:tc>
          <w:tcPr>
            <w:tcW w:type="dxa" w:w="1728"/>
          </w:tcPr>
          <w:p>
            <w:r>
              <w:rPr>
                <w:rFonts w:ascii="Calibri" w:hAnsi="Calibri"/>
                <w:sz w:val="22"/>
              </w:rPr>
              <w:t>Q3 2025</w:t>
            </w:r>
          </w:p>
        </w:tc>
        <w:tc>
          <w:tcPr>
            <w:tcW w:type="dxa" w:w="1728"/>
          </w:tcPr>
          <w:p>
            <w:r>
              <w:rPr>
                <w:rFonts w:ascii="Calibri" w:hAnsi="Calibri"/>
                <w:sz w:val="22"/>
              </w:rPr>
              <w:t>$1.31</w:t>
            </w:r>
          </w:p>
        </w:tc>
        <w:tc>
          <w:tcPr>
            <w:tcW w:type="dxa" w:w="1728"/>
          </w:tcPr>
          <w:p>
            <w:r>
              <w:rPr>
                <w:rFonts w:ascii="Calibri" w:hAnsi="Calibri"/>
                <w:sz w:val="22"/>
              </w:rPr>
              <w:t>$1.25</w:t>
            </w:r>
          </w:p>
        </w:tc>
        <w:tc>
          <w:tcPr>
            <w:tcW w:type="dxa" w:w="1728"/>
          </w:tcPr>
          <w:p>
            <w:r>
              <w:rPr>
                <w:rFonts w:ascii="Calibri" w:hAnsi="Calibri"/>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$1.14</w:t>
            </w:r>
          </w:p>
        </w:tc>
        <w:tc>
          <w:tcPr>
            <w:tcW w:type="dxa" w:w="1728"/>
          </w:tcPr>
          <w:p>
            <w:r>
              <w:rPr>
                <w:rFonts w:ascii="Calibri" w:hAnsi="Calibri"/>
                <w:sz w:val="22"/>
              </w:rPr>
              <w:t>$1.10</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$1.04</w:t>
            </w:r>
          </w:p>
        </w:tc>
        <w:tc>
          <w:tcPr>
            <w:tcW w:type="dxa" w:w="1728"/>
          </w:tcPr>
          <w:p>
            <w:r>
              <w:rPr>
                <w:rFonts w:ascii="Calibri" w:hAnsi="Calibri"/>
                <w:sz w:val="22"/>
              </w:rPr>
              <w:t>$1.01</w:t>
            </w:r>
          </w:p>
        </w:tc>
        <w:tc>
          <w:tcPr>
            <w:tcW w:type="dxa" w:w="1728"/>
          </w:tcPr>
          <w:p>
            <w:r>
              <w:rPr>
                <w:rFonts w:ascii="Calibri" w:hAnsi="Calibri"/>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$1.01</w:t>
            </w:r>
          </w:p>
        </w:tc>
        <w:tc>
          <w:tcPr>
            <w:tcW w:type="dxa" w:w="1728"/>
          </w:tcPr>
          <w:p>
            <w:r>
              <w:rPr>
                <w:rFonts w:ascii="Calibri" w:hAnsi="Calibri"/>
                <w:sz w:val="22"/>
              </w:rPr>
              <w:t>$0.92</w:t>
            </w:r>
          </w:p>
        </w:tc>
        <w:tc>
          <w:tcPr>
            <w:tcW w:type="dxa" w:w="1728"/>
          </w:tcPr>
          <w:p>
            <w:r>
              <w:rPr>
                <w:rFonts w:ascii="Calibri" w:hAnsi="Calibri"/>
                <w:sz w:val="22"/>
              </w:rPr>
              <w:t>+9.8%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$0.77</w:t>
            </w:r>
          </w:p>
        </w:tc>
        <w:tc>
          <w:tcPr>
            <w:tcW w:type="dxa" w:w="1728"/>
          </w:tcPr>
          <w:p>
            <w:r>
              <w:rPr>
                <w:rFonts w:ascii="Calibri" w:hAnsi="Calibri"/>
                <w:sz w:val="22"/>
              </w:rPr>
              <w:t>$0.75</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Top KPI #2: Net Interest Margin (NIM)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2.88%</w:t>
            </w:r>
          </w:p>
        </w:tc>
        <w:tc>
          <w:tcPr>
            <w:tcW w:type="dxa" w:w="1728"/>
          </w:tcPr>
          <w:p>
            <w:r>
              <w:rPr>
                <w:rFonts w:ascii="Calibri" w:hAnsi="Calibri"/>
                <w:sz w:val="22"/>
              </w:rPr>
              <w:t>2.93%</w:t>
            </w:r>
          </w:p>
        </w:tc>
        <w:tc>
          <w:tcPr>
            <w:tcW w:type="dxa" w:w="1728"/>
          </w:tcPr>
          <w:p>
            <w:r>
              <w:rPr>
                <w:rFonts w:ascii="Calibri" w:hAnsi="Calibri"/>
                <w:sz w:val="22"/>
              </w:rPr>
              <w:t>-5 bps</w:t>
            </w:r>
          </w:p>
        </w:tc>
        <w:tc>
          <w:tcPr>
            <w:tcW w:type="dxa" w:w="1728"/>
          </w:tcPr>
          <w:p>
            <w:r>
              <w:rPr>
                <w:rFonts w:ascii="Calibri" w:hAnsi="Calibri"/>
                <w:b/>
                <w:color w:val="E5484D"/>
                <w:sz w:val="22"/>
              </w:rPr>
              <w:t>Slight Miss</w:t>
            </w:r>
          </w:p>
        </w:tc>
      </w:tr>
      <w:tr>
        <w:tc>
          <w:tcPr>
            <w:tcW w:type="dxa" w:w="1728"/>
          </w:tcPr>
          <w:p>
            <w:r>
              <w:rPr>
                <w:rFonts w:ascii="Calibri" w:hAnsi="Calibri"/>
                <w:sz w:val="22"/>
              </w:rPr>
              <w:t>Q4 2025</w:t>
            </w:r>
          </w:p>
        </w:tc>
        <w:tc>
          <w:tcPr>
            <w:tcW w:type="dxa" w:w="1728"/>
          </w:tcPr>
          <w:p>
            <w:r>
              <w:rPr>
                <w:rFonts w:ascii="Calibri" w:hAnsi="Calibri"/>
                <w:sz w:val="22"/>
              </w:rPr>
              <w:t>2.90%</w:t>
            </w:r>
          </w:p>
        </w:tc>
        <w:tc>
          <w:tcPr>
            <w:tcW w:type="dxa" w:w="1728"/>
          </w:tcPr>
          <w:p>
            <w:r>
              <w:rPr>
                <w:rFonts w:ascii="Calibri" w:hAnsi="Calibri"/>
                <w:sz w:val="22"/>
              </w:rPr>
              <w:t>2.91%</w:t>
            </w:r>
          </w:p>
        </w:tc>
        <w:tc>
          <w:tcPr>
            <w:tcW w:type="dxa" w:w="1728"/>
          </w:tcPr>
          <w:p>
            <w:r>
              <w:rPr>
                <w:rFonts w:ascii="Calibri" w:hAnsi="Calibri"/>
                <w:sz w:val="22"/>
              </w:rPr>
              <w:t>-1 bp</w:t>
            </w:r>
          </w:p>
        </w:tc>
        <w:tc>
          <w:tcPr>
            <w:tcW w:type="dxa" w:w="1728"/>
          </w:tcPr>
          <w:p>
            <w:r>
              <w:rPr>
                <w:rFonts w:ascii="Calibri" w:hAnsi="Calibri"/>
                <w:b/>
                <w:color w:val="30A46C"/>
                <w:sz w:val="22"/>
              </w:rPr>
              <w:t>In-Line</w:t>
            </w:r>
          </w:p>
        </w:tc>
      </w:tr>
      <w:tr>
        <w:tc>
          <w:tcPr>
            <w:tcW w:type="dxa" w:w="1728"/>
          </w:tcPr>
          <w:p>
            <w:r>
              <w:rPr>
                <w:rFonts w:ascii="Calibri" w:hAnsi="Calibri"/>
                <w:sz w:val="22"/>
              </w:rPr>
              <w:t>Q3 2025</w:t>
            </w:r>
          </w:p>
        </w:tc>
        <w:tc>
          <w:tcPr>
            <w:tcW w:type="dxa" w:w="1728"/>
          </w:tcPr>
          <w:p>
            <w:r>
              <w:rPr>
                <w:rFonts w:ascii="Calibri" w:hAnsi="Calibri"/>
                <w:sz w:val="22"/>
              </w:rPr>
              <w:t>2.90%</w:t>
            </w:r>
          </w:p>
        </w:tc>
        <w:tc>
          <w:tcPr>
            <w:tcW w:type="dxa" w:w="1728"/>
          </w:tcPr>
          <w:p>
            <w:r>
              <w:rPr>
                <w:rFonts w:ascii="Calibri" w:hAnsi="Calibri"/>
                <w:sz w:val="22"/>
              </w:rPr>
              <w:t>2.83%</w:t>
            </w:r>
          </w:p>
        </w:tc>
        <w:tc>
          <w:tcPr>
            <w:tcW w:type="dxa" w:w="1728"/>
          </w:tcPr>
          <w:p>
            <w:r>
              <w:rPr>
                <w:rFonts w:ascii="Calibri" w:hAnsi="Calibri"/>
                <w:sz w:val="22"/>
              </w:rPr>
              <w:t>+7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2.68%</w:t>
            </w:r>
          </w:p>
        </w:tc>
        <w:tc>
          <w:tcPr>
            <w:tcW w:type="dxa" w:w="1728"/>
          </w:tcPr>
          <w:p>
            <w:r>
              <w:rPr>
                <w:rFonts w:ascii="Calibri" w:hAnsi="Calibri"/>
                <w:sz w:val="22"/>
              </w:rPr>
              <w:t>2.62%</w:t>
            </w:r>
          </w:p>
        </w:tc>
        <w:tc>
          <w:tcPr>
            <w:tcW w:type="dxa" w:w="1728"/>
          </w:tcPr>
          <w:p>
            <w:r>
              <w:rPr>
                <w:rFonts w:ascii="Calibri" w:hAnsi="Calibri"/>
                <w:sz w:val="22"/>
              </w:rPr>
              <w:t>+6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2.53%</w:t>
            </w:r>
          </w:p>
        </w:tc>
        <w:tc>
          <w:tcPr>
            <w:tcW w:type="dxa" w:w="1728"/>
          </w:tcPr>
          <w:p>
            <w:r>
              <w:rPr>
                <w:rFonts w:ascii="Calibri" w:hAnsi="Calibri"/>
                <w:sz w:val="22"/>
              </w:rPr>
              <w:t>2.49%</w:t>
            </w:r>
          </w:p>
        </w:tc>
        <w:tc>
          <w:tcPr>
            <w:tcW w:type="dxa" w:w="1728"/>
          </w:tcPr>
          <w:p>
            <w:r>
              <w:rPr>
                <w:rFonts w:ascii="Calibri" w:hAnsi="Calibri"/>
                <w:sz w:val="22"/>
              </w:rPr>
              <w:t>+4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2.36%</w:t>
            </w:r>
          </w:p>
        </w:tc>
        <w:tc>
          <w:tcPr>
            <w:tcW w:type="dxa" w:w="1728"/>
          </w:tcPr>
          <w:p>
            <w:r>
              <w:rPr>
                <w:rFonts w:ascii="Calibri" w:hAnsi="Calibri"/>
                <w:sz w:val="22"/>
              </w:rPr>
              <w:t>2.29%</w:t>
            </w:r>
          </w:p>
        </w:tc>
        <w:tc>
          <w:tcPr>
            <w:tcW w:type="dxa" w:w="1728"/>
          </w:tcPr>
          <w:p>
            <w:r>
              <w:rPr>
                <w:rFonts w:ascii="Calibri" w:hAnsi="Calibri"/>
                <w:sz w:val="22"/>
              </w:rPr>
              <w:t>+7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2.11%</w:t>
            </w:r>
          </w:p>
        </w:tc>
        <w:tc>
          <w:tcPr>
            <w:tcW w:type="dxa" w:w="1728"/>
          </w:tcPr>
          <w:p>
            <w:r>
              <w:rPr>
                <w:rFonts w:ascii="Calibri" w:hAnsi="Calibri"/>
                <w:sz w:val="22"/>
              </w:rPr>
              <w:t>2.11%</w:t>
            </w:r>
          </w:p>
        </w:tc>
        <w:tc>
          <w:tcPr>
            <w:tcW w:type="dxa" w:w="1728"/>
          </w:tcPr>
          <w:p>
            <w:r>
              <w:rPr>
                <w:rFonts w:ascii="Calibri" w:hAnsi="Calibri"/>
                <w:sz w:val="22"/>
              </w:rPr>
              <w:t>0 bps</w:t>
            </w:r>
          </w:p>
        </w:tc>
        <w:tc>
          <w:tcPr>
            <w:tcW w:type="dxa" w:w="1728"/>
          </w:tcPr>
          <w:p>
            <w:r>
              <w:rPr>
                <w:rFonts w:ascii="Calibri" w:hAnsi="Calibri"/>
                <w:b/>
                <w:color w:val="30A46C"/>
                <w:sz w:val="22"/>
              </w:rPr>
              <w:t>In-Line</w:t>
            </w:r>
          </w:p>
        </w:tc>
      </w:tr>
      <w:tr>
        <w:tc>
          <w:tcPr>
            <w:tcW w:type="dxa" w:w="1728"/>
          </w:tcPr>
          <w:p>
            <w:r>
              <w:rPr>
                <w:rFonts w:ascii="Calibri" w:hAnsi="Calibri"/>
                <w:sz w:val="22"/>
              </w:rPr>
              <w:t>Q2 2024</w:t>
            </w:r>
          </w:p>
        </w:tc>
        <w:tc>
          <w:tcPr>
            <w:tcW w:type="dxa" w:w="1728"/>
          </w:tcPr>
          <w:p>
            <w:r>
              <w:rPr>
                <w:rFonts w:ascii="Calibri" w:hAnsi="Calibri"/>
                <w:sz w:val="22"/>
              </w:rPr>
              <w:t>N/A — pre-8Q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SCHW has beaten or matched adjusted EPS consensus in 6 of the last 7 reported quarters, with beats typically in the +2% to +10% range; NIM has beaten or matched in 5 of 7 quarters, with the only meaningful miss in Q1 2026 (-5 bps) driven by client cash seasonality. The consistent beat cadence on EPS sets a high bar for Q2 2026, where consensus already sits above management's own scenario.</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materially upgraded its full-year and Q2 outlook at the May 14 Investor Day, raising revenue growth guidance to 14%–15% (from 9.5%–10.5%) and explicitly pointing to ~$1.50 Q2 EPS — the most concrete forward guidance Schwab has provided in recent memory. </w:t>
      </w:r>
      <w:r>
        <w:rPr>
          <w:rFonts w:ascii="Calibri" w:hAnsi="Calibri"/>
          <w:b/>
          <w:color w:val="525866"/>
          <w:sz w:val="22"/>
        </w:rPr>
        <w:t>Tone has shifted decisively from cautious to confident</w:t>
      </w:r>
      <w:r>
        <w:rPr>
          <w:rFonts w:ascii="Calibri" w:hAnsi="Calibri"/>
          <w:color w:val="525866"/>
          <w:sz w:val="22"/>
        </w:rPr>
        <w:t>, with the rate backdrop, record trading, and lending growth all cited as tailwinds.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16, 2026)</w:t>
            </w:r>
          </w:p>
        </w:tc>
        <w:tc>
          <w:tcPr>
            <w:tcW w:type="dxa" w:w="1728"/>
            <w:shd w:val="clear" w:color="auto" w:fill="3B4259"/>
          </w:tcPr>
          <w:p>
            <w:r>
              <w:rPr>
                <w:rFonts w:ascii="Calibri" w:hAnsi="Calibri"/>
                <w:b/>
                <w:color w:val="FFFFFF"/>
                <w:sz w:val="22"/>
              </w:rPr>
              <w:t>Revised Guidance (May 14 Investor Day)</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EPS</w:t>
            </w:r>
          </w:p>
        </w:tc>
        <w:tc>
          <w:tcPr>
            <w:tcW w:type="dxa" w:w="1728"/>
          </w:tcPr>
          <w:p>
            <w:r>
              <w:rPr>
                <w:rFonts w:ascii="Calibri" w:hAnsi="Calibri"/>
                <w:sz w:val="22"/>
              </w:rPr>
              <w:t>Tracking above $5.70–$5.80 FY range; no explicit Q2 figure</w:t>
            </w:r>
          </w:p>
        </w:tc>
        <w:tc>
          <w:tcPr>
            <w:tcW w:type="dxa" w:w="1728"/>
          </w:tcPr>
          <w:p>
            <w:r>
              <w:rPr>
                <w:rFonts w:ascii="Calibri" w:hAnsi="Calibri"/>
                <w:sz w:val="22"/>
              </w:rPr>
              <w:t>~$1.50 (scenario)</w:t>
            </w:r>
          </w:p>
        </w:tc>
        <w:tc>
          <w:tcPr>
            <w:tcW w:type="dxa" w:w="1728"/>
          </w:tcPr>
          <w:p>
            <w:r>
              <w:rPr>
                <w:rFonts w:ascii="Calibri" w:hAnsi="Calibri"/>
                <w:sz w:val="22"/>
              </w:rPr>
              <w:t>$1.55</w:t>
            </w:r>
          </w:p>
        </w:tc>
        <w:tc>
          <w:tcPr>
            <w:tcW w:type="dxa" w:w="1728"/>
          </w:tcPr>
          <w:p>
            <w:r>
              <w:rPr>
                <w:rFonts w:ascii="Calibri" w:hAnsi="Calibri"/>
                <w:sz w:val="22"/>
              </w:rPr>
              <w:t>↑ Raised at Investor Day May 14; first explicit Q2 EPS scenario; consensus sits 3% above</w:t>
            </w:r>
          </w:p>
        </w:tc>
      </w:tr>
      <w:tr>
        <w:tc>
          <w:tcPr>
            <w:tcW w:type="dxa" w:w="1728"/>
          </w:tcPr>
          <w:p>
            <w:r>
              <w:rPr>
                <w:rFonts w:ascii="Calibri" w:hAnsi="Calibri"/>
                <w:sz w:val="22"/>
              </w:rPr>
              <w:t>Q2 2026 Revenue Growth (YoY)</w:t>
            </w:r>
          </w:p>
        </w:tc>
        <w:tc>
          <w:tcPr>
            <w:tcW w:type="dxa" w:w="1728"/>
          </w:tcPr>
          <w:p>
            <w:r>
              <w:rPr>
                <w:rFonts w:ascii="Calibri" w:hAnsi="Calibri"/>
                <w:sz w:val="22"/>
              </w:rPr>
              <w:t>Not explicitly guided for Q2 at Q1 earnings</w:t>
            </w:r>
          </w:p>
        </w:tc>
        <w:tc>
          <w:tcPr>
            <w:tcW w:type="dxa" w:w="1728"/>
          </w:tcPr>
          <w:p>
            <w:r>
              <w:rPr>
                <w:rFonts w:ascii="Calibri" w:hAnsi="Calibri"/>
                <w:sz w:val="22"/>
              </w:rPr>
              <w:t>+16% to +17% YoY</w:t>
            </w:r>
          </w:p>
        </w:tc>
        <w:tc>
          <w:tcPr>
            <w:tcW w:type="dxa" w:w="1728"/>
          </w:tcPr>
          <w:p>
            <w:r>
              <w:rPr>
                <w:rFonts w:ascii="Calibri" w:hAnsi="Calibri"/>
                <w:sz w:val="22"/>
              </w:rPr>
              <w:t>+18% YoY implied by $6.91B consensus</w:t>
            </w:r>
          </w:p>
        </w:tc>
        <w:tc>
          <w:tcPr>
            <w:tcW w:type="dxa" w:w="1728"/>
          </w:tcPr>
          <w:p>
            <w:r>
              <w:rPr>
                <w:rFonts w:ascii="Calibri" w:hAnsi="Calibri"/>
                <w:sz w:val="22"/>
              </w:rPr>
              <w:t>↑ Raised at Investor Day May 14; consensus tracking ~1 pt above guidance midpoint</w:t>
            </w:r>
          </w:p>
        </w:tc>
      </w:tr>
      <w:tr>
        <w:tc>
          <w:tcPr>
            <w:tcW w:type="dxa" w:w="1728"/>
          </w:tcPr>
          <w:p>
            <w:r>
              <w:rPr>
                <w:rFonts w:ascii="Calibri" w:hAnsi="Calibri"/>
                <w:sz w:val="22"/>
              </w:rPr>
              <w:t>Q2 2026 Expense Growth (YoY)</w:t>
            </w:r>
          </w:p>
        </w:tc>
        <w:tc>
          <w:tcPr>
            <w:tcW w:type="dxa" w:w="1728"/>
          </w:tcPr>
          <w:p>
            <w:r>
              <w:rPr>
                <w:rFonts w:ascii="Calibri" w:hAnsi="Calibri"/>
                <w:sz w:val="22"/>
              </w:rPr>
              <w:t>Not explicitly guided for Q2 at Q1 earnings</w:t>
            </w:r>
          </w:p>
        </w:tc>
        <w:tc>
          <w:tcPr>
            <w:tcW w:type="dxa" w:w="1728"/>
          </w:tcPr>
          <w:p>
            <w:r>
              <w:rPr>
                <w:rFonts w:ascii="Calibri" w:hAnsi="Calibri"/>
                <w:sz w:val="22"/>
              </w:rPr>
              <w:t>+10.5% to +11.5% YoY (incl. Forge + SEC 31 fee return)</w:t>
            </w:r>
          </w:p>
        </w:tc>
        <w:tc>
          <w:tcPr>
            <w:tcW w:type="dxa" w:w="1728"/>
          </w:tcPr>
          <w:p>
            <w:r>
              <w:rPr>
                <w:rFonts w:ascii="Calibri" w:hAnsi="Calibri"/>
                <w:sz w:val="22"/>
              </w:rPr>
              <w:t>N/A — not separately tracked in VA</w:t>
            </w:r>
          </w:p>
        </w:tc>
        <w:tc>
          <w:tcPr>
            <w:tcW w:type="dxa" w:w="1728"/>
          </w:tcPr>
          <w:p>
            <w:r>
              <w:rPr>
                <w:rFonts w:ascii="Calibri" w:hAnsi="Calibri"/>
                <w:sz w:val="22"/>
              </w:rPr>
              <w:t>Investor Day May 14; SEC 31 fee reinstatement adds ~50–75 bps to expense growth</w:t>
            </w:r>
          </w:p>
        </w:tc>
      </w:tr>
      <w:tr>
        <w:tc>
          <w:tcPr>
            <w:tcW w:type="dxa" w:w="1728"/>
          </w:tcPr>
          <w:p>
            <w:r>
              <w:rPr>
                <w:rFonts w:ascii="Calibri" w:hAnsi="Calibri"/>
                <w:sz w:val="22"/>
              </w:rPr>
              <w:t>FY 2026 Revenue Growth</w:t>
            </w:r>
          </w:p>
        </w:tc>
        <w:tc>
          <w:tcPr>
            <w:tcW w:type="dxa" w:w="1728"/>
          </w:tcPr>
          <w:p>
            <w:r>
              <w:rPr>
                <w:rFonts w:ascii="Calibri" w:hAnsi="Calibri"/>
                <w:sz w:val="22"/>
              </w:rPr>
              <w:t>+9.5% to +10.5% YoY (Jan scenario, 2 rate cuts assumed)</w:t>
            </w:r>
          </w:p>
        </w:tc>
        <w:tc>
          <w:tcPr>
            <w:tcW w:type="dxa" w:w="1728"/>
          </w:tcPr>
          <w:p>
            <w:r>
              <w:rPr>
                <w:rFonts w:ascii="Calibri" w:hAnsi="Calibri"/>
                <w:sz w:val="22"/>
              </w:rPr>
              <w:t>+14% to +15% YoY (no rate cuts assumed)</w:t>
            </w:r>
          </w:p>
        </w:tc>
        <w:tc>
          <w:tcPr>
            <w:tcW w:type="dxa" w:w="1728"/>
          </w:tcPr>
          <w:p>
            <w:r>
              <w:rPr>
                <w:rFonts w:ascii="Calibri" w:hAnsi="Calibri"/>
                <w:sz w:val="22"/>
              </w:rPr>
              <w:t>+14.8% YoY implied by $27.64B consensus</w:t>
            </w:r>
          </w:p>
        </w:tc>
        <w:tc>
          <w:tcPr>
            <w:tcW w:type="dxa" w:w="1728"/>
          </w:tcPr>
          <w:p>
            <w:r>
              <w:rPr>
                <w:rFonts w:ascii="Calibri" w:hAnsi="Calibri"/>
                <w:sz w:val="22"/>
              </w:rPr>
              <w:t>↑ Significantly raised at Investor Day May 14; consensus at top of revised range</w:t>
            </w:r>
          </w:p>
        </w:tc>
      </w:tr>
      <w:tr>
        <w:tc>
          <w:tcPr>
            <w:tcW w:type="dxa" w:w="1728"/>
          </w:tcPr>
          <w:p>
            <w:r>
              <w:rPr>
                <w:rFonts w:ascii="Calibri" w:hAnsi="Calibri"/>
                <w:sz w:val="22"/>
              </w:rPr>
              <w:t>FY 2026 NIM</w:t>
            </w:r>
          </w:p>
        </w:tc>
        <w:tc>
          <w:tcPr>
            <w:tcW w:type="dxa" w:w="1728"/>
          </w:tcPr>
          <w:p>
            <w:r>
              <w:rPr>
                <w:rFonts w:ascii="Calibri" w:hAnsi="Calibri"/>
                <w:sz w:val="22"/>
              </w:rPr>
              <w:t>Not explicitly guided at Q1 earnings; upward momentum signaled</w:t>
            </w:r>
          </w:p>
        </w:tc>
        <w:tc>
          <w:tcPr>
            <w:tcW w:type="dxa" w:w="1728"/>
          </w:tcPr>
          <w:p>
            <w:r>
              <w:rPr>
                <w:rFonts w:ascii="Calibri" w:hAnsi="Calibri"/>
                <w:sz w:val="22"/>
              </w:rPr>
              <w:t>3.00%–3.10% FY avg.; 3.25%–3.30% in Q4</w:t>
            </w:r>
          </w:p>
        </w:tc>
        <w:tc>
          <w:tcPr>
            <w:tcW w:type="dxa" w:w="1728"/>
          </w:tcPr>
          <w:p>
            <w:r>
              <w:rPr>
                <w:rFonts w:ascii="Calibri" w:hAnsi="Calibri"/>
                <w:sz w:val="22"/>
              </w:rPr>
              <w:t>3.05% FY consensus</w:t>
            </w:r>
          </w:p>
        </w:tc>
        <w:tc>
          <w:tcPr>
            <w:tcW w:type="dxa" w:w="1728"/>
          </w:tcPr>
          <w:p>
            <w:r>
              <w:rPr>
                <w:rFonts w:ascii="Calibri" w:hAnsi="Calibri"/>
                <w:sz w:val="22"/>
              </w:rPr>
              <w:t>↑ Raised at Investor Day May 14; consensus at midpoint of range</w:t>
            </w:r>
          </w:p>
        </w:tc>
      </w:tr>
      <w:tr>
        <w:tc>
          <w:tcPr>
            <w:tcW w:type="dxa" w:w="1728"/>
          </w:tcPr>
          <w:p>
            <w:r>
              <w:rPr>
                <w:rFonts w:ascii="Calibri" w:hAnsi="Calibri"/>
                <w:sz w:val="22"/>
              </w:rPr>
              <w:t>FY 2026 Core NNA Organic Growth</w:t>
            </w:r>
          </w:p>
        </w:tc>
        <w:tc>
          <w:tcPr>
            <w:tcW w:type="dxa" w:w="1728"/>
          </w:tcPr>
          <w:p>
            <w:r>
              <w:rPr>
                <w:rFonts w:ascii="Calibri" w:hAnsi="Calibri"/>
                <w:sz w:val="22"/>
              </w:rPr>
              <w:t>~5% annualized; March record NNA cited as evidence</w:t>
            </w:r>
          </w:p>
        </w:tc>
        <w:tc>
          <w:tcPr>
            <w:tcW w:type="dxa" w:w="1728"/>
          </w:tcPr>
          <w:p>
            <w:r>
              <w:rPr>
                <w:rFonts w:ascii="Calibri" w:hAnsi="Calibri"/>
                <w:sz w:val="22"/>
              </w:rPr>
              <w:t>~5% organic growth rate maintained</w:t>
            </w:r>
          </w:p>
        </w:tc>
        <w:tc>
          <w:tcPr>
            <w:tcW w:type="dxa" w:w="1728"/>
          </w:tcPr>
          <w:p>
            <w:r>
              <w:rPr>
                <w:rFonts w:ascii="Calibri" w:hAnsi="Calibri"/>
                <w:sz w:val="22"/>
              </w:rPr>
              <w:t>$568.9B FY consensus (~5% implied)</w:t>
            </w:r>
          </w:p>
        </w:tc>
        <w:tc>
          <w:tcPr>
            <w:tcW w:type="dxa" w:w="1728"/>
          </w:tcPr>
          <w:p>
            <w:r>
              <w:rPr>
                <w:rFonts w:ascii="Calibri" w:hAnsi="Calibri"/>
                <w:sz w:val="22"/>
              </w:rPr>
              <w:t>Unchanged; management confident in 5% target</w:t>
            </w:r>
          </w:p>
        </w:tc>
      </w:tr>
      <w:tr>
        <w:tc>
          <w:tcPr>
            <w:tcW w:type="dxa" w:w="1728"/>
          </w:tcPr>
          <w:p>
            <w:r>
              <w:rPr>
                <w:rFonts w:ascii="Calibri" w:hAnsi="Calibri"/>
                <w:sz w:val="22"/>
              </w:rPr>
              <w:t>FY 2026 DATs</w:t>
            </w:r>
          </w:p>
        </w:tc>
        <w:tc>
          <w:tcPr>
            <w:tcW w:type="dxa" w:w="1728"/>
          </w:tcPr>
          <w:p>
            <w:r>
              <w:rPr>
                <w:rFonts w:ascii="Calibri" w:hAnsi="Calibri"/>
                <w:sz w:val="22"/>
              </w:rPr>
              <w:t>Record 9.9M in Q1; revenue per trade pressured by smaller positions</w:t>
            </w:r>
          </w:p>
        </w:tc>
        <w:tc>
          <w:tcPr>
            <w:tcW w:type="dxa" w:w="1728"/>
          </w:tcPr>
          <w:p>
            <w:r>
              <w:rPr>
                <w:rFonts w:ascii="Calibri" w:hAnsi="Calibri"/>
                <w:sz w:val="22"/>
              </w:rPr>
              <w:t>8.7M FY avg. (scenario); April SMART report showed &gt;10M</w:t>
            </w:r>
          </w:p>
        </w:tc>
        <w:tc>
          <w:tcPr>
            <w:tcW w:type="dxa" w:w="1728"/>
          </w:tcPr>
          <w:p>
            <w:r>
              <w:rPr>
                <w:rFonts w:ascii="Calibri" w:hAnsi="Calibri"/>
                <w:sz w:val="22"/>
              </w:rPr>
              <w:t>9.88M FY consensus</w:t>
            </w:r>
          </w:p>
        </w:tc>
        <w:tc>
          <w:tcPr>
            <w:tcW w:type="dxa" w:w="1728"/>
          </w:tcPr>
          <w:p>
            <w:r>
              <w:rPr>
                <w:rFonts w:ascii="Calibri" w:hAnsi="Calibri"/>
                <w:sz w:val="22"/>
              </w:rPr>
              <w:t>↑ Raised at Investor Day May 14; consensus well above scenario; Q2 consensus at 11.0M</w:t>
            </w:r>
          </w:p>
        </w:tc>
      </w:tr>
      <w:tr>
        <w:tc>
          <w:tcPr>
            <w:tcW w:type="dxa" w:w="1728"/>
          </w:tcPr>
          <w:p>
            <w:r>
              <w:rPr>
                <w:rFonts w:ascii="Calibri" w:hAnsi="Calibri"/>
                <w:sz w:val="22"/>
              </w:rPr>
              <w:t>Capital Return</w:t>
            </w:r>
          </w:p>
        </w:tc>
        <w:tc>
          <w:tcPr>
            <w:tcW w:type="dxa" w:w="1728"/>
          </w:tcPr>
          <w:p>
            <w:r>
              <w:rPr>
                <w:rFonts w:ascii="Calibri" w:hAnsi="Calibri"/>
                <w:sz w:val="22"/>
              </w:rPr>
              <w:t>19% dividend increase; $2.4B buyback in Q1; preferred redemption evaluation ongoing</w:t>
            </w:r>
          </w:p>
        </w:tc>
        <w:tc>
          <w:tcPr>
            <w:tcW w:type="dxa" w:w="1728"/>
          </w:tcPr>
          <w:p>
            <w:r>
              <w:rPr>
                <w:rFonts w:ascii="Calibri" w:hAnsi="Calibri"/>
                <w:sz w:val="22"/>
              </w:rPr>
              <w:t>~$15B returned since end-2024; continued buyback flexibility</w:t>
            </w:r>
          </w:p>
        </w:tc>
        <w:tc>
          <w:tcPr>
            <w:tcW w:type="dxa" w:w="1728"/>
          </w:tcPr>
          <w:p>
            <w:r>
              <w:rPr>
                <w:rFonts w:ascii="Calibri" w:hAnsi="Calibri"/>
                <w:sz w:val="22"/>
              </w:rPr>
              <w:t>N/A</w:t>
            </w:r>
          </w:p>
        </w:tc>
        <w:tc>
          <w:tcPr>
            <w:tcW w:type="dxa" w:w="1728"/>
          </w:tcPr>
          <w:p>
            <w:r>
              <w:rPr>
                <w:rFonts w:ascii="Calibri" w:hAnsi="Calibri"/>
                <w:sz w:val="22"/>
              </w:rPr>
              <w:t>Investor Day May 14; tone more confident on capital return capacity</w:t>
            </w:r>
          </w:p>
        </w:tc>
      </w:tr>
    </w:tbl>
    <w:p>
      <w:r>
        <w:rPr>
          <w:rFonts w:ascii="Calibri" w:hAnsi="Calibri"/>
          <w:i/>
          <w:color w:val="525866"/>
          <w:sz w:val="22"/>
        </w:rPr>
        <w:t>Sources: SCHW Q1 2026 Earnings Call Transcript (April 16, 2026); SCHW Institutional Investor Day Transcript (May 14,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sharply higher since the Q1 print across all key metrics, with Q2 EPS consensus up ~5% and FY 2026 EPS up ~5% from the post-Q1 baseline. </w:t>
      </w:r>
      <w:r>
        <w:rPr>
          <w:rFonts w:ascii="Calibri" w:hAnsi="Calibri"/>
          <w:b/>
          <w:color w:val="525866"/>
          <w:sz w:val="22"/>
        </w:rPr>
        <w:t>Revisions are tracking with — and in some cases above — management's upgraded guidance</w:t>
      </w:r>
      <w:r>
        <w:rPr>
          <w:rFonts w:ascii="Calibri" w:hAnsi="Calibri"/>
          <w:color w:val="525866"/>
          <w:sz w:val="22"/>
        </w:rPr>
        <w:t>, which is a positive signal but also means the cushion between guidance and consensus is thin, particularly on NIM and revenue.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Apr 23, 2026)</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 (May 14 Investor Day)</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w:t>
            </w:r>
          </w:p>
        </w:tc>
      </w:tr>
      <w:tr>
        <w:tc>
          <w:tcPr>
            <w:tcW w:type="dxa" w:w="1080"/>
          </w:tcPr>
          <w:p>
            <w:r>
              <w:rPr>
                <w:rFonts w:ascii="Calibri" w:hAnsi="Calibri"/>
                <w:sz w:val="22"/>
              </w:rPr>
              <w:t>Adj. EPS — Q2 2026</w:t>
            </w:r>
          </w:p>
        </w:tc>
        <w:tc>
          <w:tcPr>
            <w:tcW w:type="dxa" w:w="1080"/>
          </w:tcPr>
          <w:p>
            <w:r>
              <w:rPr>
                <w:rFonts w:ascii="Calibri" w:hAnsi="Calibri"/>
                <w:sz w:val="22"/>
              </w:rPr>
              <w:t>$1.471</w:t>
            </w:r>
          </w:p>
        </w:tc>
        <w:tc>
          <w:tcPr>
            <w:tcW w:type="dxa" w:w="1080"/>
          </w:tcPr>
          <w:p>
            <w:r>
              <w:rPr>
                <w:rFonts w:ascii="Calibri" w:hAnsi="Calibri"/>
                <w:sz w:val="22"/>
              </w:rPr>
              <w:t>$1.550</w:t>
            </w:r>
          </w:p>
        </w:tc>
        <w:tc>
          <w:tcPr>
            <w:tcW w:type="dxa" w:w="1080"/>
          </w:tcPr>
          <w:p>
            <w:r>
              <w:rPr>
                <w:rFonts w:ascii="Calibri" w:hAnsi="Calibri"/>
                <w:b/>
                <w:color w:val="30A46C"/>
                <w:sz w:val="22"/>
              </w:rPr>
              <w:t>+5.4%</w:t>
            </w:r>
          </w:p>
        </w:tc>
        <w:tc>
          <w:tcPr>
            <w:tcW w:type="dxa" w:w="1080"/>
          </w:tcPr>
          <w:p>
            <w:r>
              <w:rPr>
                <w:rFonts w:ascii="Calibri" w:hAnsi="Calibri"/>
                <w:sz w:val="22"/>
              </w:rPr>
              <w:t>Tracking above $5.70–$5.80 FY</w:t>
            </w:r>
          </w:p>
        </w:tc>
        <w:tc>
          <w:tcPr>
            <w:tcW w:type="dxa" w:w="1080"/>
          </w:tcPr>
          <w:p>
            <w:r>
              <w:rPr>
                <w:rFonts w:ascii="Calibri" w:hAnsi="Calibri"/>
                <w:sz w:val="22"/>
              </w:rPr>
              <w:t>~$1.50 (scenario)</w:t>
            </w:r>
          </w:p>
        </w:tc>
        <w:tc>
          <w:tcPr>
            <w:tcW w:type="dxa" w:w="1080"/>
          </w:tcPr>
          <w:p>
            <w:r>
              <w:rPr>
                <w:rFonts w:ascii="Calibri" w:hAnsi="Calibri"/>
                <w:sz w:val="22"/>
              </w:rPr>
              <w:t>↑ Raised</w:t>
            </w:r>
          </w:p>
        </w:tc>
        <w:tc>
          <w:tcPr>
            <w:tcW w:type="dxa" w:w="1080"/>
          </w:tcPr>
          <w:p>
            <w:r>
              <w:rPr>
                <w:rFonts w:ascii="Calibri" w:hAnsi="Calibri"/>
                <w:sz w:val="22"/>
              </w:rPr>
              <w:t>+3.3% above</w:t>
            </w:r>
          </w:p>
        </w:tc>
      </w:tr>
      <w:tr>
        <w:tc>
          <w:tcPr>
            <w:tcW w:type="dxa" w:w="1080"/>
          </w:tcPr>
          <w:p>
            <w:r>
              <w:rPr>
                <w:rFonts w:ascii="Calibri" w:hAnsi="Calibri"/>
                <w:sz w:val="22"/>
              </w:rPr>
              <w:t>Adj. EPS — FY 2026</w:t>
            </w:r>
          </w:p>
        </w:tc>
        <w:tc>
          <w:tcPr>
            <w:tcW w:type="dxa" w:w="1080"/>
          </w:tcPr>
          <w:p>
            <w:r>
              <w:rPr>
                <w:rFonts w:ascii="Calibri" w:hAnsi="Calibri"/>
                <w:sz w:val="22"/>
              </w:rPr>
              <w:t>$6.025</w:t>
            </w:r>
          </w:p>
        </w:tc>
        <w:tc>
          <w:tcPr>
            <w:tcW w:type="dxa" w:w="1080"/>
          </w:tcPr>
          <w:p>
            <w:r>
              <w:rPr>
                <w:rFonts w:ascii="Calibri" w:hAnsi="Calibri"/>
                <w:sz w:val="22"/>
              </w:rPr>
              <w:t>$6.305</w:t>
            </w:r>
          </w:p>
        </w:tc>
        <w:tc>
          <w:tcPr>
            <w:tcW w:type="dxa" w:w="1080"/>
          </w:tcPr>
          <w:p>
            <w:r>
              <w:rPr>
                <w:rFonts w:ascii="Calibri" w:hAnsi="Calibri"/>
                <w:b/>
                <w:color w:val="30A46C"/>
                <w:sz w:val="22"/>
              </w:rPr>
              <w:t>+4.6%</w:t>
            </w:r>
          </w:p>
        </w:tc>
        <w:tc>
          <w:tcPr>
            <w:tcW w:type="dxa" w:w="1080"/>
          </w:tcPr>
          <w:p>
            <w:r>
              <w:rPr>
                <w:rFonts w:ascii="Calibri" w:hAnsi="Calibri"/>
                <w:sz w:val="22"/>
              </w:rPr>
              <w:t>$5.70–$5.80 (Jan scenario, excl. buybacks/Forge)</w:t>
            </w:r>
          </w:p>
        </w:tc>
        <w:tc>
          <w:tcPr>
            <w:tcW w:type="dxa" w:w="1080"/>
          </w:tcPr>
          <w:p>
            <w:r>
              <w:rPr>
                <w:rFonts w:ascii="Calibri" w:hAnsi="Calibri"/>
                <w:sz w:val="22"/>
              </w:rPr>
              <w:t>Mid-teen EPS growth through cycle; ~$6.30+ implied</w:t>
            </w:r>
          </w:p>
        </w:tc>
        <w:tc>
          <w:tcPr>
            <w:tcW w:type="dxa" w:w="1080"/>
          </w:tcPr>
          <w:p>
            <w:r>
              <w:rPr>
                <w:rFonts w:ascii="Calibri" w:hAnsi="Calibri"/>
                <w:sz w:val="22"/>
              </w:rPr>
              <w:t>↑ Raised</w:t>
            </w:r>
          </w:p>
        </w:tc>
        <w:tc>
          <w:tcPr>
            <w:tcW w:type="dxa" w:w="1080"/>
          </w:tcPr>
          <w:p>
            <w:r>
              <w:rPr>
                <w:rFonts w:ascii="Calibri" w:hAnsi="Calibri"/>
                <w:sz w:val="22"/>
              </w:rPr>
              <w:t>Consensus at top of implied range</w:t>
            </w:r>
          </w:p>
        </w:tc>
      </w:tr>
      <w:tr>
        <w:tc>
          <w:tcPr>
            <w:tcW w:type="dxa" w:w="1080"/>
          </w:tcPr>
          <w:p>
            <w:r>
              <w:rPr>
                <w:rFonts w:ascii="Calibri" w:hAnsi="Calibri"/>
                <w:sz w:val="22"/>
              </w:rPr>
              <w:t>Total Revenue — Q2 2026</w:t>
            </w:r>
          </w:p>
        </w:tc>
        <w:tc>
          <w:tcPr>
            <w:tcW w:type="dxa" w:w="1080"/>
          </w:tcPr>
          <w:p>
            <w:r>
              <w:rPr>
                <w:rFonts w:ascii="Calibri" w:hAnsi="Calibri"/>
                <w:sz w:val="22"/>
              </w:rPr>
              <w:t>$6.592B</w:t>
            </w:r>
          </w:p>
        </w:tc>
        <w:tc>
          <w:tcPr>
            <w:tcW w:type="dxa" w:w="1080"/>
          </w:tcPr>
          <w:p>
            <w:r>
              <w:rPr>
                <w:rFonts w:ascii="Calibri" w:hAnsi="Calibri"/>
                <w:sz w:val="22"/>
              </w:rPr>
              <w:t>$6.905B</w:t>
            </w:r>
          </w:p>
        </w:tc>
        <w:tc>
          <w:tcPr>
            <w:tcW w:type="dxa" w:w="1080"/>
          </w:tcPr>
          <w:p>
            <w:r>
              <w:rPr>
                <w:rFonts w:ascii="Calibri" w:hAnsi="Calibri"/>
                <w:b/>
                <w:color w:val="30A46C"/>
                <w:sz w:val="22"/>
              </w:rPr>
              <w:t>+4.7%</w:t>
            </w:r>
          </w:p>
        </w:tc>
        <w:tc>
          <w:tcPr>
            <w:tcW w:type="dxa" w:w="1080"/>
          </w:tcPr>
          <w:p>
            <w:r>
              <w:rPr>
                <w:rFonts w:ascii="Calibri" w:hAnsi="Calibri"/>
                <w:sz w:val="22"/>
              </w:rPr>
              <w:t>Not explicitly guided</w:t>
            </w:r>
          </w:p>
        </w:tc>
        <w:tc>
          <w:tcPr>
            <w:tcW w:type="dxa" w:w="1080"/>
          </w:tcPr>
          <w:p>
            <w:r>
              <w:rPr>
                <w:rFonts w:ascii="Calibri" w:hAnsi="Calibri"/>
                <w:sz w:val="22"/>
              </w:rPr>
              <w:t>+16% to +17% YoY</w:t>
            </w:r>
          </w:p>
        </w:tc>
        <w:tc>
          <w:tcPr>
            <w:tcW w:type="dxa" w:w="1080"/>
          </w:tcPr>
          <w:p>
            <w:r>
              <w:rPr>
                <w:rFonts w:ascii="Calibri" w:hAnsi="Calibri"/>
                <w:sz w:val="22"/>
              </w:rPr>
              <w:t>↑ Raised</w:t>
            </w:r>
          </w:p>
        </w:tc>
        <w:tc>
          <w:tcPr>
            <w:tcW w:type="dxa" w:w="1080"/>
          </w:tcPr>
          <w:p>
            <w:r>
              <w:rPr>
                <w:rFonts w:ascii="Calibri" w:hAnsi="Calibri"/>
                <w:sz w:val="22"/>
              </w:rPr>
              <w:t>~+1% above guidance midpoint</w:t>
            </w:r>
          </w:p>
        </w:tc>
      </w:tr>
      <w:tr>
        <w:tc>
          <w:tcPr>
            <w:tcW w:type="dxa" w:w="1080"/>
          </w:tcPr>
          <w:p>
            <w:r>
              <w:rPr>
                <w:rFonts w:ascii="Calibri" w:hAnsi="Calibri"/>
                <w:sz w:val="22"/>
              </w:rPr>
              <w:t>Total Revenue — FY 2026</w:t>
            </w:r>
          </w:p>
        </w:tc>
        <w:tc>
          <w:tcPr>
            <w:tcW w:type="dxa" w:w="1080"/>
          </w:tcPr>
          <w:p>
            <w:r>
              <w:rPr>
                <w:rFonts w:ascii="Calibri" w:hAnsi="Calibri"/>
                <w:sz w:val="22"/>
              </w:rPr>
              <w:t>$26.711B</w:t>
            </w:r>
          </w:p>
        </w:tc>
        <w:tc>
          <w:tcPr>
            <w:tcW w:type="dxa" w:w="1080"/>
          </w:tcPr>
          <w:p>
            <w:r>
              <w:rPr>
                <w:rFonts w:ascii="Calibri" w:hAnsi="Calibri"/>
                <w:sz w:val="22"/>
              </w:rPr>
              <w:t>$27.641B</w:t>
            </w:r>
          </w:p>
        </w:tc>
        <w:tc>
          <w:tcPr>
            <w:tcW w:type="dxa" w:w="1080"/>
          </w:tcPr>
          <w:p>
            <w:r>
              <w:rPr>
                <w:rFonts w:ascii="Calibri" w:hAnsi="Calibri"/>
                <w:b/>
                <w:color w:val="30A46C"/>
                <w:sz w:val="22"/>
              </w:rPr>
              <w:t>+3.5%</w:t>
            </w:r>
          </w:p>
        </w:tc>
        <w:tc>
          <w:tcPr>
            <w:tcW w:type="dxa" w:w="1080"/>
          </w:tcPr>
          <w:p>
            <w:r>
              <w:rPr>
                <w:rFonts w:ascii="Calibri" w:hAnsi="Calibri"/>
                <w:sz w:val="22"/>
              </w:rPr>
              <w:t>+9.5% to +10.5% YoY (Jan)</w:t>
            </w:r>
          </w:p>
        </w:tc>
        <w:tc>
          <w:tcPr>
            <w:tcW w:type="dxa" w:w="1080"/>
          </w:tcPr>
          <w:p>
            <w:r>
              <w:rPr>
                <w:rFonts w:ascii="Calibri" w:hAnsi="Calibri"/>
                <w:sz w:val="22"/>
              </w:rPr>
              <w:t>+14% to +15% YoY</w:t>
            </w:r>
          </w:p>
        </w:tc>
        <w:tc>
          <w:tcPr>
            <w:tcW w:type="dxa" w:w="1080"/>
          </w:tcPr>
          <w:p>
            <w:r>
              <w:rPr>
                <w:rFonts w:ascii="Calibri" w:hAnsi="Calibri"/>
                <w:sz w:val="22"/>
              </w:rPr>
              <w:t>↑ Significantly raised</w:t>
            </w:r>
          </w:p>
        </w:tc>
        <w:tc>
          <w:tcPr>
            <w:tcW w:type="dxa" w:w="1080"/>
          </w:tcPr>
          <w:p>
            <w:r>
              <w:rPr>
                <w:rFonts w:ascii="Calibri" w:hAnsi="Calibri"/>
                <w:sz w:val="22"/>
              </w:rPr>
              <w:t>At top of revised range</w:t>
            </w:r>
          </w:p>
        </w:tc>
      </w:tr>
      <w:tr>
        <w:tc>
          <w:tcPr>
            <w:tcW w:type="dxa" w:w="1080"/>
          </w:tcPr>
          <w:p>
            <w:r>
              <w:rPr>
                <w:rFonts w:ascii="Calibri" w:hAnsi="Calibri"/>
                <w:sz w:val="22"/>
              </w:rPr>
              <w:t>Net Interest Revenue — Q2 2026</w:t>
            </w:r>
          </w:p>
        </w:tc>
        <w:tc>
          <w:tcPr>
            <w:tcW w:type="dxa" w:w="1080"/>
          </w:tcPr>
          <w:p>
            <w:r>
              <w:rPr>
                <w:rFonts w:ascii="Calibri" w:hAnsi="Calibri"/>
                <w:sz w:val="22"/>
              </w:rPr>
              <w:t>$3.191B</w:t>
            </w:r>
          </w:p>
        </w:tc>
        <w:tc>
          <w:tcPr>
            <w:tcW w:type="dxa" w:w="1080"/>
          </w:tcPr>
          <w:p>
            <w:r>
              <w:rPr>
                <w:rFonts w:ascii="Calibri" w:hAnsi="Calibri"/>
                <w:sz w:val="22"/>
              </w:rPr>
              <w:t>$3.310B</w:t>
            </w:r>
          </w:p>
        </w:tc>
        <w:tc>
          <w:tcPr>
            <w:tcW w:type="dxa" w:w="1080"/>
          </w:tcPr>
          <w:p>
            <w:r>
              <w:rPr>
                <w:rFonts w:ascii="Calibri" w:hAnsi="Calibri"/>
                <w:b/>
                <w:color w:val="30A46C"/>
                <w:sz w:val="22"/>
              </w:rPr>
              <w:t>+3.7%</w:t>
            </w:r>
          </w:p>
        </w:tc>
        <w:tc>
          <w:tcPr>
            <w:tcW w:type="dxa" w:w="1080"/>
          </w:tcPr>
          <w:p>
            <w:r>
              <w:rPr>
                <w:rFonts w:ascii="Calibri" w:hAnsi="Calibri"/>
                <w:sz w:val="22"/>
              </w:rPr>
              <w:t>Upward NIM momentum signaled</w:t>
            </w:r>
          </w:p>
        </w:tc>
        <w:tc>
          <w:tcPr>
            <w:tcW w:type="dxa" w:w="1080"/>
          </w:tcPr>
          <w:p>
            <w:r>
              <w:rPr>
                <w:rFonts w:ascii="Calibri" w:hAnsi="Calibri"/>
                <w:sz w:val="22"/>
              </w:rPr>
              <w:t>NIM 3.00%–3.10% FY avg.</w:t>
            </w:r>
          </w:p>
        </w:tc>
        <w:tc>
          <w:tcPr>
            <w:tcW w:type="dxa" w:w="1080"/>
          </w:tcPr>
          <w:p>
            <w:r>
              <w:rPr>
                <w:rFonts w:ascii="Calibri" w:hAnsi="Calibri"/>
                <w:sz w:val="22"/>
              </w:rPr>
              <w:t>↑ Raised</w:t>
            </w:r>
          </w:p>
        </w:tc>
        <w:tc>
          <w:tcPr>
            <w:tcW w:type="dxa" w:w="1080"/>
          </w:tcPr>
          <w:p>
            <w:r>
              <w:rPr>
                <w:rFonts w:ascii="Calibri" w:hAnsi="Calibri"/>
                <w:sz w:val="22"/>
              </w:rPr>
              <w:t>Tracking within guided range</w:t>
            </w:r>
          </w:p>
        </w:tc>
      </w:tr>
      <w:tr>
        <w:tc>
          <w:tcPr>
            <w:tcW w:type="dxa" w:w="1080"/>
          </w:tcPr>
          <w:p>
            <w:r>
              <w:rPr>
                <w:rFonts w:ascii="Calibri" w:hAnsi="Calibri"/>
                <w:sz w:val="22"/>
              </w:rPr>
              <w:t>NIM — Q2 2026</w:t>
            </w:r>
          </w:p>
        </w:tc>
        <w:tc>
          <w:tcPr>
            <w:tcW w:type="dxa" w:w="1080"/>
          </w:tcPr>
          <w:p>
            <w:r>
              <w:rPr>
                <w:rFonts w:ascii="Calibri" w:hAnsi="Calibri"/>
                <w:sz w:val="22"/>
              </w:rPr>
              <w:t>2.918%</w:t>
            </w:r>
          </w:p>
        </w:tc>
        <w:tc>
          <w:tcPr>
            <w:tcW w:type="dxa" w:w="1080"/>
          </w:tcPr>
          <w:p>
            <w:r>
              <w:rPr>
                <w:rFonts w:ascii="Calibri" w:hAnsi="Calibri"/>
                <w:sz w:val="22"/>
              </w:rPr>
              <w:t>2.982%</w:t>
            </w:r>
          </w:p>
        </w:tc>
        <w:tc>
          <w:tcPr>
            <w:tcW w:type="dxa" w:w="1080"/>
          </w:tcPr>
          <w:p>
            <w:r>
              <w:rPr>
                <w:rFonts w:ascii="Calibri" w:hAnsi="Calibri"/>
                <w:b/>
                <w:color w:val="30A46C"/>
                <w:sz w:val="22"/>
              </w:rPr>
              <w:t>+6 bps</w:t>
            </w:r>
          </w:p>
        </w:tc>
        <w:tc>
          <w:tcPr>
            <w:tcW w:type="dxa" w:w="1080"/>
          </w:tcPr>
          <w:p>
            <w:r>
              <w:rPr>
                <w:rFonts w:ascii="Calibri" w:hAnsi="Calibri"/>
                <w:sz w:val="22"/>
              </w:rPr>
              <w:t>Upward momentum; no explicit Q2 NIM guide</w:t>
            </w:r>
          </w:p>
        </w:tc>
        <w:tc>
          <w:tcPr>
            <w:tcW w:type="dxa" w:w="1080"/>
          </w:tcPr>
          <w:p>
            <w:r>
              <w:rPr>
                <w:rFonts w:ascii="Calibri" w:hAnsi="Calibri"/>
                <w:sz w:val="22"/>
              </w:rPr>
              <w:t>3.00%–3.10% FY; 3.25%–3.30% in Q4</w:t>
            </w:r>
          </w:p>
        </w:tc>
        <w:tc>
          <w:tcPr>
            <w:tcW w:type="dxa" w:w="1080"/>
          </w:tcPr>
          <w:p>
            <w:r>
              <w:rPr>
                <w:rFonts w:ascii="Calibri" w:hAnsi="Calibri"/>
                <w:sz w:val="22"/>
              </w:rPr>
              <w:t>↑ Raised</w:t>
            </w:r>
          </w:p>
        </w:tc>
        <w:tc>
          <w:tcPr>
            <w:tcW w:type="dxa" w:w="1080"/>
          </w:tcPr>
          <w:p>
            <w:r>
              <w:rPr>
                <w:rFonts w:ascii="Calibri" w:hAnsi="Calibri"/>
                <w:sz w:val="22"/>
              </w:rPr>
              <w:t>~2 bps below FY low end; sequential expansion expected</w:t>
            </w:r>
          </w:p>
        </w:tc>
      </w:tr>
      <w:tr>
        <w:tc>
          <w:tcPr>
            <w:tcW w:type="dxa" w:w="1080"/>
          </w:tcPr>
          <w:p>
            <w:r>
              <w:rPr>
                <w:rFonts w:ascii="Calibri" w:hAnsi="Calibri"/>
                <w:sz w:val="22"/>
              </w:rPr>
              <w:t>Core NNA — Q2 2026</w:t>
            </w:r>
          </w:p>
        </w:tc>
        <w:tc>
          <w:tcPr>
            <w:tcW w:type="dxa" w:w="1080"/>
          </w:tcPr>
          <w:p>
            <w:r>
              <w:rPr>
                <w:rFonts w:ascii="Calibri" w:hAnsi="Calibri"/>
                <w:sz w:val="22"/>
              </w:rPr>
              <w:t>$102.2B</w:t>
            </w:r>
          </w:p>
        </w:tc>
        <w:tc>
          <w:tcPr>
            <w:tcW w:type="dxa" w:w="1080"/>
          </w:tcPr>
          <w:p>
            <w:r>
              <w:rPr>
                <w:rFonts w:ascii="Calibri" w:hAnsi="Calibri"/>
                <w:sz w:val="22"/>
              </w:rPr>
              <w:t>$108.3B</w:t>
            </w:r>
          </w:p>
        </w:tc>
        <w:tc>
          <w:tcPr>
            <w:tcW w:type="dxa" w:w="1080"/>
          </w:tcPr>
          <w:p>
            <w:r>
              <w:rPr>
                <w:rFonts w:ascii="Calibri" w:hAnsi="Calibri"/>
                <w:b/>
                <w:color w:val="30A46C"/>
                <w:sz w:val="22"/>
              </w:rPr>
              <w:t>+6.0%</w:t>
            </w:r>
          </w:p>
        </w:tc>
        <w:tc>
          <w:tcPr>
            <w:tcW w:type="dxa" w:w="1080"/>
          </w:tcPr>
          <w:p>
            <w:r>
              <w:rPr>
                <w:rFonts w:ascii="Calibri" w:hAnsi="Calibri"/>
                <w:sz w:val="22"/>
              </w:rPr>
              <w:t>~5% organic growth rate</w:t>
            </w:r>
          </w:p>
        </w:tc>
        <w:tc>
          <w:tcPr>
            <w:tcW w:type="dxa" w:w="1080"/>
          </w:tcPr>
          <w:p>
            <w:r>
              <w:rPr>
                <w:rFonts w:ascii="Calibri" w:hAnsi="Calibri"/>
                <w:sz w:val="22"/>
              </w:rPr>
              <w:t>~5% organic growth rate maintained</w:t>
            </w:r>
          </w:p>
        </w:tc>
        <w:tc>
          <w:tcPr>
            <w:tcW w:type="dxa" w:w="1080"/>
          </w:tcPr>
          <w:p>
            <w:r>
              <w:rPr>
                <w:rFonts w:ascii="Calibri" w:hAnsi="Calibri"/>
                <w:sz w:val="22"/>
              </w:rPr>
              <w:t>Unchanged</w:t>
            </w:r>
          </w:p>
        </w:tc>
        <w:tc>
          <w:tcPr>
            <w:tcW w:type="dxa" w:w="1080"/>
          </w:tcPr>
          <w:p>
            <w:r>
              <w:rPr>
                <w:rFonts w:ascii="Calibri" w:hAnsi="Calibri"/>
                <w:sz w:val="22"/>
              </w:rPr>
              <w:t>Tracking at/above 5% target</w:t>
            </w:r>
          </w:p>
        </w:tc>
      </w:tr>
      <w:tr>
        <w:tc>
          <w:tcPr>
            <w:tcW w:type="dxa" w:w="1080"/>
          </w:tcPr>
          <w:p>
            <w:r>
              <w:rPr>
                <w:rFonts w:ascii="Calibri" w:hAnsi="Calibri"/>
                <w:sz w:val="22"/>
              </w:rPr>
              <w:t>DARTs — Q2 2026</w:t>
            </w:r>
          </w:p>
        </w:tc>
        <w:tc>
          <w:tcPr>
            <w:tcW w:type="dxa" w:w="1080"/>
          </w:tcPr>
          <w:p>
            <w:r>
              <w:rPr>
                <w:rFonts w:ascii="Calibri" w:hAnsi="Calibri"/>
                <w:sz w:val="22"/>
              </w:rPr>
              <w:t>8.709M</w:t>
            </w:r>
          </w:p>
        </w:tc>
        <w:tc>
          <w:tcPr>
            <w:tcW w:type="dxa" w:w="1080"/>
          </w:tcPr>
          <w:p>
            <w:r>
              <w:rPr>
                <w:rFonts w:ascii="Calibri" w:hAnsi="Calibri"/>
                <w:sz w:val="22"/>
              </w:rPr>
              <w:t>11.008M</w:t>
            </w:r>
          </w:p>
        </w:tc>
        <w:tc>
          <w:tcPr>
            <w:tcW w:type="dxa" w:w="1080"/>
          </w:tcPr>
          <w:p>
            <w:r>
              <w:rPr>
                <w:rFonts w:ascii="Calibri" w:hAnsi="Calibri"/>
                <w:b/>
                <w:color w:val="30A46C"/>
                <w:sz w:val="22"/>
              </w:rPr>
              <w:t>+26.4%</w:t>
            </w:r>
          </w:p>
        </w:tc>
        <w:tc>
          <w:tcPr>
            <w:tcW w:type="dxa" w:w="1080"/>
          </w:tcPr>
          <w:p>
            <w:r>
              <w:rPr>
                <w:rFonts w:ascii="Calibri" w:hAnsi="Calibri"/>
                <w:sz w:val="22"/>
              </w:rPr>
              <w:t>Record 9.9M in Q1; revenue per trade pressured</w:t>
            </w:r>
          </w:p>
        </w:tc>
        <w:tc>
          <w:tcPr>
            <w:tcW w:type="dxa" w:w="1080"/>
          </w:tcPr>
          <w:p>
            <w:r>
              <w:rPr>
                <w:rFonts w:ascii="Calibri" w:hAnsi="Calibri"/>
                <w:sz w:val="22"/>
              </w:rPr>
              <w:t>8.7M FY avg. (scenario); April SMART &gt;10M</w:t>
            </w:r>
          </w:p>
        </w:tc>
        <w:tc>
          <w:tcPr>
            <w:tcW w:type="dxa" w:w="1080"/>
          </w:tcPr>
          <w:p>
            <w:r>
              <w:rPr>
                <w:rFonts w:ascii="Calibri" w:hAnsi="Calibri"/>
                <w:sz w:val="22"/>
              </w:rPr>
              <w:t>↑ Raised</w:t>
            </w:r>
          </w:p>
        </w:tc>
        <w:tc>
          <w:tcPr>
            <w:tcW w:type="dxa" w:w="1080"/>
          </w:tcPr>
          <w:p>
            <w:r>
              <w:rPr>
                <w:rFonts w:ascii="Calibri" w:hAnsi="Calibri"/>
                <w:sz w:val="22"/>
              </w:rPr>
              <w:t>+26% above FY scenario; peer data confirms elevated volumes</w:t>
            </w:r>
          </w:p>
        </w:tc>
      </w:tr>
    </w:tbl>
    <w:p>
      <w:r>
        <w:rPr>
          <w:rFonts w:ascii="Calibri" w:hAnsi="Calibri"/>
          <w:color w:val="525866"/>
          <w:sz w:val="22"/>
        </w:rPr>
        <w:t>Estimate revisions since the Q1 print have been uniformly positive and broad-based, with the largest moves in DARTs (+26%) and EPS (+5%), both tracking well above management's conservative scenario assumptions. The gap between consensus and guidance is thin on revenue and NIM, meaning any shortfall in client cash behavior or trading revenue per trade could flip the narrative quickly despite headline beats.</w:t>
      </w:r>
    </w:p>
    <w:p>
      <w:r>
        <w:rPr>
          <w:rFonts w:ascii="Calibri" w:hAnsi="Calibri"/>
          <w:i/>
          <w:color w:val="525866"/>
          <w:sz w:val="22"/>
        </w:rPr>
        <w:t>Source: Visible Alpha Consensus and Actuals Data. Post-Q1 baseline as of April 23, 2026 (5 trading days after April 16, 2026 earnings).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SCHW has rallied ~10.7% since the Q1 earnings date (April 16, 2026 close: $92.62 → July 21 pre-market: ~$102.54), </w:t>
      </w:r>
      <w:r>
        <w:rPr>
          <w:rFonts w:ascii="Calibri" w:hAnsi="Calibri"/>
          <w:b/>
          <w:color w:val="525866"/>
          <w:sz w:val="22"/>
        </w:rPr>
        <w:t>outperforming both KBE (+10.1%) and the S&amp;P 500 (+5.7%) over the same period</w:t>
      </w:r>
      <w:r>
        <w:rPr>
          <w:rFonts w:ascii="Calibri" w:hAnsi="Calibri"/>
          <w:color w:val="525866"/>
          <w:sz w:val="22"/>
        </w:rPr>
        <w:t>. The move has been driven by a combination of estimate revisions (EPS up ~5%) and modest multiple re-rating, with the stock now trading at ~14.5x NTM P/E — not stretched but not cheap, leaving the stock dependent on continued earnings delivery.</w:t>
      </w:r>
    </w:p>
    <w:p>
      <w:r>
        <w:rPr>
          <w:rFonts w:ascii="Calibri" w:hAnsi="Calibri"/>
          <w:color w:val="525866"/>
          <w:sz w:val="22"/>
        </w:rPr>
        <w:t>The chart below shows SCHW, KBE (S&amp;P Bank ETF), and SPY indexed to 100 at the April 16, 2026 Q1 earnings date. Key events are marked.</w:t>
      </w:r>
    </w:p>
    <w:p>
      <w:r>
        <w:rPr>
          <w:i/>
        </w:rPr>
        <w:t>[Image not found: gs://lum-production-user-data-store/conversations/conv_01k7aqhqhbfhkbhqhbhqhbhqhb/plotly_charts/schw_stock_performance.json]</w:t>
      </w:r>
    </w:p>
    <w:p>
      <w:pPr>
        <w:jc w:val="center"/>
      </w:pPr>
      <w:r>
        <w:rPr>
          <w:i/>
          <w:color w:val="666666"/>
          <w:sz w:val="18"/>
        </w:rPr>
        <w:t>SCHW vs. KBE vs. S&amp;P 500 — Indexed to 100 at Q1 2026 Earnings (April 16, 2026). Source: Yahoo Finance /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Ticker</w:t>
            </w:r>
          </w:p>
        </w:tc>
        <w:tc>
          <w:tcPr>
            <w:tcW w:type="dxa" w:w="2160"/>
            <w:shd w:val="clear" w:color="auto" w:fill="3B4259"/>
          </w:tcPr>
          <w:p>
            <w:r>
              <w:rPr>
                <w:rFonts w:ascii="Calibri" w:hAnsi="Calibri"/>
                <w:b/>
                <w:color w:val="FFFFFF"/>
                <w:sz w:val="22"/>
              </w:rPr>
              <w:t>Apr 16, 2026 Close</w:t>
            </w:r>
          </w:p>
        </w:tc>
        <w:tc>
          <w:tcPr>
            <w:tcW w:type="dxa" w:w="2160"/>
            <w:shd w:val="clear" w:color="auto" w:fill="3B4259"/>
          </w:tcPr>
          <w:p>
            <w:r>
              <w:rPr>
                <w:rFonts w:ascii="Calibri" w:hAnsi="Calibri"/>
                <w:b/>
                <w:color w:val="FFFFFF"/>
                <w:sz w:val="22"/>
              </w:rPr>
              <w:t>Jul 21, 2026 (Latest)</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SCHW</w:t>
            </w:r>
          </w:p>
        </w:tc>
        <w:tc>
          <w:tcPr>
            <w:tcW w:type="dxa" w:w="2160"/>
          </w:tcPr>
          <w:p>
            <w:r>
              <w:rPr>
                <w:rFonts w:ascii="Calibri" w:hAnsi="Calibri"/>
                <w:sz w:val="22"/>
              </w:rPr>
              <w:t>$92.62</w:t>
            </w:r>
          </w:p>
        </w:tc>
        <w:tc>
          <w:tcPr>
            <w:tcW w:type="dxa" w:w="2160"/>
          </w:tcPr>
          <w:p>
            <w:r>
              <w:rPr>
                <w:rFonts w:ascii="Calibri" w:hAnsi="Calibri"/>
                <w:sz w:val="22"/>
              </w:rPr>
              <w:t>$102.54</w:t>
            </w:r>
          </w:p>
        </w:tc>
        <w:tc>
          <w:tcPr>
            <w:tcW w:type="dxa" w:w="2160"/>
          </w:tcPr>
          <w:p>
            <w:r>
              <w:rPr>
                <w:rFonts w:ascii="Calibri" w:hAnsi="Calibri"/>
                <w:b/>
                <w:color w:val="30A46C"/>
                <w:sz w:val="22"/>
              </w:rPr>
              <w:t>+10.7%</w:t>
            </w:r>
          </w:p>
        </w:tc>
      </w:tr>
      <w:tr>
        <w:tc>
          <w:tcPr>
            <w:tcW w:type="dxa" w:w="2160"/>
          </w:tcPr>
          <w:p>
            <w:r>
              <w:rPr>
                <w:rFonts w:ascii="Calibri" w:hAnsi="Calibri"/>
                <w:sz w:val="22"/>
              </w:rPr>
              <w:t>KBE (S&amp;P Bank ETF)</w:t>
            </w:r>
          </w:p>
        </w:tc>
        <w:tc>
          <w:tcPr>
            <w:tcW w:type="dxa" w:w="2160"/>
          </w:tcPr>
          <w:p>
            <w:r>
              <w:rPr>
                <w:rFonts w:ascii="Calibri" w:hAnsi="Calibri"/>
                <w:sz w:val="22"/>
              </w:rPr>
              <w:t>$63.11</w:t>
            </w:r>
          </w:p>
        </w:tc>
        <w:tc>
          <w:tcPr>
            <w:tcW w:type="dxa" w:w="2160"/>
          </w:tcPr>
          <w:p>
            <w:r>
              <w:rPr>
                <w:rFonts w:ascii="Calibri" w:hAnsi="Calibri"/>
                <w:sz w:val="22"/>
              </w:rPr>
              <w:t>$69.49</w:t>
            </w:r>
          </w:p>
        </w:tc>
        <w:tc>
          <w:tcPr>
            <w:tcW w:type="dxa" w:w="2160"/>
          </w:tcPr>
          <w:p>
            <w:r>
              <w:rPr>
                <w:rFonts w:ascii="Calibri" w:hAnsi="Calibri"/>
                <w:sz w:val="22"/>
              </w:rPr>
              <w:t>+10.1%</w:t>
            </w:r>
          </w:p>
        </w:tc>
      </w:tr>
      <w:tr>
        <w:tc>
          <w:tcPr>
            <w:tcW w:type="dxa" w:w="2160"/>
          </w:tcPr>
          <w:p>
            <w:r>
              <w:rPr>
                <w:rFonts w:ascii="Calibri" w:hAnsi="Calibri"/>
                <w:sz w:val="22"/>
              </w:rPr>
              <w:t>SPY (S&amp;P 500)</w:t>
            </w:r>
          </w:p>
        </w:tc>
        <w:tc>
          <w:tcPr>
            <w:tcW w:type="dxa" w:w="2160"/>
          </w:tcPr>
          <w:p>
            <w:r>
              <w:rPr>
                <w:rFonts w:ascii="Calibri" w:hAnsi="Calibri"/>
                <w:sz w:val="22"/>
              </w:rPr>
              <w:t>$701.66</w:t>
            </w:r>
          </w:p>
        </w:tc>
        <w:tc>
          <w:tcPr>
            <w:tcW w:type="dxa" w:w="2160"/>
          </w:tcPr>
          <w:p>
            <w:r>
              <w:rPr>
                <w:rFonts w:ascii="Calibri" w:hAnsi="Calibri"/>
                <w:sz w:val="22"/>
              </w:rPr>
              <w:t>$742.09</w:t>
            </w:r>
          </w:p>
        </w:tc>
        <w:tc>
          <w:tcPr>
            <w:tcW w:type="dxa" w:w="2160"/>
          </w:tcPr>
          <w:p>
            <w:r>
              <w:rPr>
                <w:rFonts w:ascii="Calibri" w:hAnsi="Calibri"/>
                <w:sz w:val="22"/>
              </w:rPr>
              <w:t>+5.7%</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Apr 16, 2026:</w:t>
      </w:r>
      <w:r>
        <w:rPr>
          <w:rFonts w:ascii="Calibri" w:hAnsi="Calibri"/>
          <w:color w:val="525866"/>
          <w:sz w:val="22"/>
        </w:rPr>
        <w:t xml:space="preserve"> Q1 2026 earnings beat (adj. EPS $1.43 vs. $1.40 consensus); stock sold off intraday on cash sweep concerns despite headline beat.</w:t>
      </w:r>
    </w:p>
    <w:p>
      <w:pPr>
        <w:pStyle w:val="ListBullet"/>
        <w:ind w:left="360" w:hanging="360"/>
      </w:pPr>
      <w:r>
        <w:rPr>
          <w:rFonts w:ascii="Calibri" w:hAnsi="Calibri"/>
          <w:b/>
          <w:color w:val="525866"/>
          <w:sz w:val="22"/>
        </w:rPr>
        <w:t>May 14, 2026:</w:t>
      </w:r>
      <w:r>
        <w:rPr>
          <w:rFonts w:ascii="Calibri" w:hAnsi="Calibri"/>
          <w:color w:val="525866"/>
          <w:sz w:val="22"/>
        </w:rPr>
        <w:t xml:space="preserve"> Institutional Investor Day — management raised FY revenue guidance to +14%–15%, guided Q2 EPS to ~$1.50, launched crypto to first clients; stock rallied.</w:t>
      </w:r>
    </w:p>
    <w:p>
      <w:pPr>
        <w:pStyle w:val="ListBullet"/>
        <w:ind w:left="360" w:hanging="360"/>
      </w:pPr>
      <w:r>
        <w:rPr>
          <w:rFonts w:ascii="Calibri" w:hAnsi="Calibri"/>
          <w:b/>
          <w:color w:val="525866"/>
          <w:sz w:val="22"/>
        </w:rPr>
        <w:t>May 28, 2026:</w:t>
      </w:r>
      <w:r>
        <w:rPr>
          <w:rFonts w:ascii="Calibri" w:hAnsi="Calibri"/>
          <w:color w:val="525866"/>
          <w:sz w:val="22"/>
        </w:rPr>
        <w:t xml:space="preserve"> CEO Rick Wurster open-market purchase of 21,959 shares (~$1.9M) — notable discretionary buy signal.</w:t>
      </w:r>
    </w:p>
    <w:p>
      <w:pPr>
        <w:pStyle w:val="ListBullet"/>
        <w:ind w:left="360" w:hanging="360"/>
      </w:pPr>
      <w:r>
        <w:rPr>
          <w:rFonts w:ascii="Calibri" w:hAnsi="Calibri"/>
          <w:b/>
          <w:color w:val="525866"/>
          <w:sz w:val="22"/>
        </w:rPr>
        <w:t>Jun 29, 2026:</w:t>
      </w:r>
      <w:r>
        <w:rPr>
          <w:rFonts w:ascii="Calibri" w:hAnsi="Calibri"/>
          <w:color w:val="525866"/>
          <w:sz w:val="22"/>
        </w:rPr>
        <w:t xml:space="preserve"> SCHW issued $1B in 4.603% Fixed-to-Floating Rate Senior Notes due 2029 — balance sheet management, not a guidance event.</w:t>
      </w:r>
    </w:p>
    <w:p>
      <w:pPr>
        <w:pStyle w:val="ListBullet"/>
        <w:ind w:left="360" w:hanging="360"/>
      </w:pPr>
      <w:r>
        <w:rPr>
          <w:rFonts w:ascii="Calibri" w:hAnsi="Calibri"/>
          <w:b/>
          <w:color w:val="525866"/>
          <w:sz w:val="22"/>
        </w:rPr>
        <w:t>Jul 1–10, 2026:</w:t>
      </w:r>
      <w:r>
        <w:rPr>
          <w:rFonts w:ascii="Calibri" w:hAnsi="Calibri"/>
          <w:color w:val="525866"/>
          <w:sz w:val="22"/>
        </w:rPr>
        <w:t xml:space="preserve"> Stock broke above $100 for the first time since Q1 earnings, driven by strong peer earnings (JPM, GS, MS, BLK all reported record Q2 results) providing positive read-through.</w:t>
      </w:r>
    </w:p>
    <w:p>
      <w:r>
        <w:rPr>
          <w:rFonts w:ascii="Calibri" w:hAnsi="Calibri"/>
          <w:i/>
          <w:color w:val="525866"/>
          <w:sz w:val="22"/>
        </w:rPr>
        <w:t>Source: Stock Price Data (Yahoo Finance). NTM P/E and performance decomposition from internal analytics.</w:t>
      </w:r>
    </w:p>
    <w:p>
      <w:r>
        <w:br w:type="page"/>
      </w:r>
    </w:p>
    <w:p>
      <w:pPr>
        <w:pStyle w:val="Heading1"/>
        <w:pBdr>
          <w:bottom w:val="single" w:sz="4" w:space="1" w:color="FB9120"/>
        </w:pBdr>
      </w:pPr>
      <w:r>
        <w:rPr>
          <w:rFonts w:ascii="Calibri" w:hAnsi="Calibri"/>
          <w:b/>
          <w:color w:val="3B4259"/>
          <w:sz w:val="40"/>
        </w:rPr>
        <w:t>6. Peer Commentary — Q2 2026 Current-Quarter Read-Throughs (Last 60 Days)</w:t>
      </w:r>
    </w:p>
    <w:p>
      <w:r>
        <w:rPr>
          <w:rFonts w:ascii="Calibri" w:hAnsi="Calibri"/>
          <w:b/>
          <w:color w:val="525866"/>
          <w:sz w:val="22"/>
        </w:rPr>
        <w:t xml:space="preserve">Key Takeaway: </w:t>
      </w:r>
      <w:r>
        <w:rPr>
          <w:rFonts w:ascii="Calibri" w:hAnsi="Calibri"/>
          <w:color w:val="525866"/>
          <w:sz w:val="22"/>
        </w:rPr>
        <w:t xml:space="preserve">Peer commentary from Q2 2026 earnings calls and conferences is uniformly bullish for Schwab's Q2 setup — record trading volumes, record asset flows, strong NII/NIM, and robust wealth management activity all read through positively. </w:t>
      </w:r>
      <w:r>
        <w:rPr>
          <w:rFonts w:ascii="Calibri" w:hAnsi="Calibri"/>
          <w:b/>
          <w:color w:val="525866"/>
          <w:sz w:val="22"/>
        </w:rPr>
        <w:t>The one nuance: JPMorgan flagged that Q2 equities activity may be hard to repeat, and Robinhood noted crypto take rates declined ~7–8 bps QoQ</w:t>
      </w:r>
      <w:r>
        <w:rPr>
          <w:rFonts w:ascii="Calibri" w:hAnsi="Calibri"/>
          <w:color w:val="525866"/>
          <w:sz w:val="22"/>
        </w:rPr>
        <w:t>, which could temper trading revenue per trade expectations.</w:t>
      </w:r>
    </w:p>
    <w:p>
      <w:r>
        <w:rPr>
          <w:rFonts w:ascii="Calibri" w:hAnsi="Calibri"/>
          <w:i/>
          <w:color w:val="525866"/>
          <w:sz w:val="22"/>
        </w:rPr>
        <w:t>Note: Only commentary describing Q2 2026 (April–June 2026) conditions or forward-looking statements made after peers' own prior-quarter earnings is included below. Retrospective commentary solely about Q1 2026 or earlier results is excluded.</w:t>
      </w:r>
    </w:p>
    <w:p>
      <w:pPr>
        <w:pStyle w:val="Heading2"/>
      </w:pPr>
      <w:r>
        <w:rPr>
          <w:rFonts w:ascii="Calibri" w:hAnsi="Calibri"/>
          <w:b/>
          <w:color w:val="3B4259"/>
          <w:sz w:val="28"/>
        </w:rPr>
        <w:t>6.1 JPMorgan Chase (JPM) — Q2 2026 Earnings Call (July 14, 2026)</w:t>
      </w:r>
    </w:p>
    <w:p>
      <w:r>
        <w:rPr>
          <w:rFonts w:ascii="Calibri" w:hAnsi="Calibri"/>
          <w:b/>
          <w:color w:val="525866"/>
          <w:sz w:val="22"/>
        </w:rPr>
        <w:t xml:space="preserve">Read-Through Relevance: </w:t>
      </w:r>
      <w:r>
        <w:rPr>
          <w:rFonts w:ascii="Calibri" w:hAnsi="Calibri"/>
          <w:color w:val="525866"/>
          <w:sz w:val="22"/>
        </w:rPr>
        <w:t>High. JPM is the largest U.S. bank and a direct read-through on retail client activity, trading volumes, NII/NIM, and deposit behavior.</w:t>
      </w:r>
    </w:p>
    <w:p>
      <w:pPr>
        <w:pStyle w:val="ListBullet"/>
        <w:ind w:left="360" w:hanging="360"/>
      </w:pPr>
      <w:r>
        <w:rPr>
          <w:rFonts w:ascii="Calibri" w:hAnsi="Calibri"/>
          <w:b/>
          <w:color w:val="525866"/>
          <w:sz w:val="22"/>
        </w:rPr>
        <w:t>Record retail engagement &amp; trading volumes:</w:t>
      </w:r>
      <w:r>
        <w:rPr>
          <w:rFonts w:ascii="Calibri" w:hAnsi="Calibri"/>
          <w:b/>
          <w:color w:val="30A46C"/>
          <w:sz w:val="22"/>
        </w:rPr>
        <w:t xml:space="preserve"> JPM described Q2 as a period where "the market is clearly extremely risk on" with "the high profile nature of the activity this quarter and just the generally robust environment is itself begetting more activity." Equities revenue was up 86% YoY, with "strength across products and regions" and "strong flows" in derivatives and cash. </w:t>
      </w:r>
      <w:r>
        <w:rPr>
          <w:rFonts w:ascii="Calibri" w:hAnsi="Calibri"/>
          <w:color w:val="525866"/>
          <w:sz w:val="22"/>
        </w:rPr>
        <w:t>→ Directly positive for SCHW DARTs and trading revenue.</w:t>
      </w:r>
    </w:p>
    <w:p>
      <w:pPr>
        <w:pStyle w:val="ListBullet"/>
        <w:ind w:left="360" w:hanging="360"/>
      </w:pPr>
      <w:r>
        <w:rPr>
          <w:rFonts w:ascii="Calibri" w:hAnsi="Calibri"/>
          <w:b/>
          <w:color w:val="525866"/>
          <w:sz w:val="22"/>
        </w:rPr>
        <w:t>Caveat on repeatability:</w:t>
      </w:r>
      <w:r>
        <w:rPr>
          <w:rFonts w:ascii="Calibri" w:hAnsi="Calibri"/>
          <w:b/>
          <w:color w:val="E5484D"/>
          <w:sz w:val="22"/>
        </w:rPr>
        <w:t xml:space="preserve"> Management noted "the particular set of things that happened in equities this quarter is a little bit hard to imagine that being repeated," citing major IPOs, index rebalancing, and Korean equity market dynamics. </w:t>
      </w:r>
      <w:r>
        <w:rPr>
          <w:rFonts w:ascii="Calibri" w:hAnsi="Calibri"/>
          <w:color w:val="525866"/>
          <w:sz w:val="22"/>
        </w:rPr>
        <w:t>→ Tempers expectations for Q3 trading, but Q2 itself was exceptional.</w:t>
      </w:r>
    </w:p>
    <w:p>
      <w:pPr>
        <w:pStyle w:val="ListBullet"/>
        <w:ind w:left="360" w:hanging="360"/>
      </w:pPr>
      <w:r>
        <w:rPr>
          <w:rFonts w:ascii="Calibri" w:hAnsi="Calibri"/>
          <w:b/>
          <w:color w:val="525866"/>
          <w:sz w:val="22"/>
        </w:rPr>
        <w:t>Deposit growth &amp; NII upside:</w:t>
      </w:r>
      <w:r>
        <w:rPr>
          <w:rFonts w:ascii="Calibri" w:hAnsi="Calibri"/>
          <w:b/>
          <w:color w:val="30A46C"/>
          <w:sz w:val="22"/>
        </w:rPr>
        <w:t xml:space="preserve"> Average deposits up 3% YoY and 2% QoQ; NII outperformed driven by "deposit balances across both wholesale and consumer" and "mixed shift inside of that in favor of slightly higher margin." JPM raised NII guidance, citing rates "a little bit higher than when we previously guided." </w:t>
      </w:r>
      <w:r>
        <w:rPr>
          <w:rFonts w:ascii="Calibri" w:hAnsi="Calibri"/>
          <w:color w:val="525866"/>
          <w:sz w:val="22"/>
        </w:rPr>
        <w:t>→ Positive read-through for SCHW NIM expansion and sweep balance stability.</w:t>
      </w:r>
    </w:p>
    <w:p>
      <w:pPr>
        <w:pStyle w:val="ListBullet"/>
        <w:ind w:left="360" w:hanging="360"/>
      </w:pPr>
      <w:r>
        <w:rPr>
          <w:rFonts w:ascii="Calibri" w:hAnsi="Calibri"/>
          <w:b/>
          <w:color w:val="525866"/>
          <w:sz w:val="22"/>
        </w:rPr>
        <w:t>Yield-seeking flows still a risk:</w:t>
      </w:r>
      <w:r>
        <w:rPr>
          <w:rFonts w:ascii="Calibri" w:hAnsi="Calibri"/>
          <w:b/>
          <w:color w:val="E5484D"/>
          <w:sz w:val="22"/>
        </w:rPr>
        <w:t xml:space="preserve"> JPM flagged that "yield seeking flows are still a factor and probably a little bit of a risk" given the more hawkish rate environment. </w:t>
      </w:r>
      <w:r>
        <w:rPr>
          <w:rFonts w:ascii="Calibri" w:hAnsi="Calibri"/>
          <w:color w:val="525866"/>
          <w:sz w:val="22"/>
        </w:rPr>
        <w:t>→ Relevant to SCHW's cash sweep competitive dynamics; clients may continue to migrate cash to higher-yielding alternatives.</w:t>
      </w:r>
    </w:p>
    <w:p>
      <w:pPr>
        <w:pStyle w:val="ListBullet"/>
        <w:ind w:left="360" w:hanging="360"/>
      </w:pPr>
      <w:r>
        <w:rPr>
          <w:rFonts w:ascii="Calibri" w:hAnsi="Calibri"/>
          <w:b/>
          <w:color w:val="525866"/>
          <w:sz w:val="22"/>
        </w:rPr>
        <w:t>Smart Cash tool in testing:</w:t>
      </w:r>
      <w:r>
        <w:rPr>
          <w:rFonts w:ascii="Calibri" w:hAnsi="Calibri"/>
          <w:b/>
          <w:color w:val="E5484D"/>
          <w:sz w:val="22"/>
        </w:rPr>
        <w:t xml:space="preserve"> JPM confirmed its "Smart Cash tool" is a "test case" with "certain tests coming out this year" targeting a "narrow segment of accounts." </w:t>
      </w:r>
      <w:r>
        <w:rPr>
          <w:rFonts w:ascii="Calibri" w:hAnsi="Calibri"/>
          <w:color w:val="525866"/>
          <w:sz w:val="22"/>
        </w:rPr>
        <w:t>→ Competitive threat to SCHW's sweep economics remains nascent but real; management will likely be asked about this on the call.</w:t>
      </w:r>
    </w:p>
    <w:p>
      <w:pPr>
        <w:pStyle w:val="ListBullet"/>
        <w:ind w:left="360" w:hanging="360"/>
      </w:pPr>
      <w:r>
        <w:rPr>
          <w:rFonts w:ascii="Calibri" w:hAnsi="Calibri"/>
          <w:b/>
          <w:color w:val="525866"/>
          <w:sz w:val="22"/>
        </w:rPr>
        <w:t>Wealth management &amp; asset flows:</w:t>
      </w:r>
      <w:r>
        <w:rPr>
          <w:rFonts w:ascii="Calibri" w:hAnsi="Calibri"/>
          <w:b/>
          <w:color w:val="30A46C"/>
          <w:sz w:val="22"/>
        </w:rPr>
        <w:t xml:space="preserve"> Long-term net inflows of $50B; AUM up 18% YoY to $5.1T; client investment assets up 21% YoY. "Consumers and small businesses continue to show resilience." </w:t>
      </w:r>
      <w:r>
        <w:rPr>
          <w:rFonts w:ascii="Calibri" w:hAnsi="Calibri"/>
          <w:color w:val="525866"/>
          <w:sz w:val="22"/>
        </w:rPr>
        <w:t>→ Positive for SCHW managed investing flows and total client assets.</w:t>
      </w:r>
    </w:p>
    <w:p>
      <w:pPr>
        <w:pStyle w:val="Heading2"/>
      </w:pPr>
      <w:r>
        <w:rPr>
          <w:rFonts w:ascii="Calibri" w:hAnsi="Calibri"/>
          <w:b/>
          <w:color w:val="3B4259"/>
          <w:sz w:val="28"/>
        </w:rPr>
        <w:t>6.2 Morgan Stanley (MS) — Q2 2026 Earnings Call (July 15, 2026)</w:t>
      </w:r>
    </w:p>
    <w:p>
      <w:r>
        <w:rPr>
          <w:rFonts w:ascii="Calibri" w:hAnsi="Calibri"/>
          <w:b/>
          <w:color w:val="525866"/>
          <w:sz w:val="22"/>
        </w:rPr>
        <w:t xml:space="preserve">Read-Through Relevance: </w:t>
      </w:r>
      <w:r>
        <w:rPr>
          <w:rFonts w:ascii="Calibri" w:hAnsi="Calibri"/>
          <w:color w:val="525866"/>
          <w:sz w:val="22"/>
        </w:rPr>
        <w:t>High. MS is the closest wealth management peer and a direct read-through on NNA, fee-based flows, NII, and retail engagement.</w:t>
      </w:r>
    </w:p>
    <w:p>
      <w:pPr>
        <w:pStyle w:val="ListBullet"/>
        <w:ind w:left="360" w:hanging="360"/>
      </w:pPr>
      <w:r>
        <w:rPr>
          <w:rFonts w:ascii="Calibri" w:hAnsi="Calibri"/>
          <w:b/>
          <w:color w:val="525866"/>
          <w:sz w:val="22"/>
        </w:rPr>
        <w:t>Record NNA of $148B:</w:t>
      </w:r>
      <w:r>
        <w:rPr>
          <w:rFonts w:ascii="Calibri" w:hAnsi="Calibri"/>
          <w:b/>
          <w:color w:val="30A46C"/>
          <w:sz w:val="22"/>
        </w:rPr>
        <w:t xml:space="preserve"> MS reported "record net new assets of $148 billion" in Q2 2026, with "strong fee based flows of $39 billion." Total client assets reached $8T in Wealth Management. "Stock plan IPO flows represented just over half of the overall NNA this quarter, more than offsetting seasonal taxes." </w:t>
      </w:r>
      <w:r>
        <w:rPr>
          <w:rFonts w:ascii="Calibri" w:hAnsi="Calibri"/>
          <w:color w:val="525866"/>
          <w:sz w:val="22"/>
        </w:rPr>
        <w:t>→ Directly positive for SCHW NNA; confirms the industry-wide asset gathering environment is exceptional.</w:t>
      </w:r>
    </w:p>
    <w:p>
      <w:pPr>
        <w:pStyle w:val="ListBullet"/>
        <w:ind w:left="360" w:hanging="360"/>
      </w:pPr>
      <w:r>
        <w:rPr>
          <w:rFonts w:ascii="Calibri" w:hAnsi="Calibri"/>
          <w:b/>
          <w:color w:val="525866"/>
          <w:sz w:val="22"/>
        </w:rPr>
        <w:t>NII outperformed on sweep balances:</w:t>
      </w:r>
      <w:r>
        <w:rPr>
          <w:rFonts w:ascii="Calibri" w:hAnsi="Calibri"/>
          <w:b/>
          <w:color w:val="30A46C"/>
          <w:sz w:val="22"/>
        </w:rPr>
        <w:t xml:space="preserve"> MS stated NII "outperformed on higher than expected sweep balances and strong loan growth," with NII rising to $2.3B sequentially. For Q3, MS expects "a modest sequential increase in NII." </w:t>
      </w:r>
      <w:r>
        <w:rPr>
          <w:rFonts w:ascii="Calibri" w:hAnsi="Calibri"/>
          <w:color w:val="525866"/>
          <w:sz w:val="22"/>
        </w:rPr>
        <w:t>→ Key positive read-through: sweep balances held better than feared at MS, suggesting SCHW's sweep dynamics may also be more resilient than the market feared post-Q1.</w:t>
      </w:r>
    </w:p>
    <w:p>
      <w:pPr>
        <w:pStyle w:val="ListBullet"/>
        <w:ind w:left="360" w:hanging="360"/>
      </w:pPr>
      <w:r>
        <w:rPr>
          <w:rFonts w:ascii="Calibri" w:hAnsi="Calibri"/>
          <w:b/>
          <w:color w:val="525866"/>
          <w:sz w:val="22"/>
        </w:rPr>
        <w:t>Transactional revenues up 20% YoY:</w:t>
      </w:r>
      <w:r>
        <w:rPr>
          <w:rFonts w:ascii="Calibri" w:hAnsi="Calibri"/>
          <w:b/>
          <w:color w:val="30A46C"/>
          <w:sz w:val="22"/>
        </w:rPr>
        <w:t xml:space="preserve"> Wealth Management transactional revenues of $1.2B were up 20% YoY, "reflecting highly engaged retail clients across both advisor led and self-directed channels." </w:t>
      </w:r>
      <w:r>
        <w:rPr>
          <w:rFonts w:ascii="Calibri" w:hAnsi="Calibri"/>
          <w:color w:val="525866"/>
          <w:sz w:val="22"/>
        </w:rPr>
        <w:t>→ Positive for SCHW trading revenue and DATs.</w:t>
      </w:r>
    </w:p>
    <w:p>
      <w:pPr>
        <w:pStyle w:val="ListBullet"/>
        <w:ind w:left="360" w:hanging="360"/>
      </w:pPr>
      <w:r>
        <w:rPr>
          <w:rFonts w:ascii="Calibri" w:hAnsi="Calibri"/>
          <w:b/>
          <w:color w:val="525866"/>
          <w:sz w:val="22"/>
        </w:rPr>
        <w:t>Loan growth strong:</w:t>
      </w:r>
      <w:r>
        <w:rPr>
          <w:rFonts w:ascii="Calibri" w:hAnsi="Calibri"/>
          <w:b/>
          <w:color w:val="30A46C"/>
          <w:sz w:val="22"/>
        </w:rPr>
        <w:t xml:space="preserve"> Loan balances grew $9B in Q2 despite tax obligations, with "increase against lending of equity portfolios." </w:t>
      </w:r>
      <w:r>
        <w:rPr>
          <w:rFonts w:ascii="Calibri" w:hAnsi="Calibri"/>
          <w:color w:val="525866"/>
          <w:sz w:val="22"/>
        </w:rPr>
        <w:t>→ Positive for SCHW margin loans and PAL balances.</w:t>
      </w:r>
    </w:p>
    <w:p>
      <w:pPr>
        <w:pStyle w:val="ListBullet"/>
        <w:ind w:left="360" w:hanging="360"/>
      </w:pPr>
      <w:r>
        <w:rPr>
          <w:rFonts w:ascii="Calibri" w:hAnsi="Calibri"/>
          <w:b/>
          <w:color w:val="525866"/>
          <w:sz w:val="22"/>
        </w:rPr>
        <w:t>Economy "in great shape":</w:t>
      </w:r>
      <w:r>
        <w:rPr>
          <w:rFonts w:ascii="Calibri" w:hAnsi="Calibri"/>
          <w:b/>
          <w:color w:val="30A46C"/>
          <w:sz w:val="22"/>
        </w:rPr>
        <w:t xml:space="preserve"> MS CEO noted "the economy is in great shape, there is barely talk of the R word, the consumer at the spending higher end is in very good shape." </w:t>
      </w:r>
      <w:r>
        <w:rPr>
          <w:rFonts w:ascii="Calibri" w:hAnsi="Calibri"/>
          <w:color w:val="525866"/>
          <w:sz w:val="22"/>
        </w:rPr>
        <w:t>→ Supportive macro backdrop for SCHW's high-net-worth client base.</w:t>
      </w:r>
    </w:p>
    <w:p>
      <w:pPr>
        <w:pStyle w:val="ListBullet"/>
        <w:ind w:left="360" w:hanging="360"/>
      </w:pPr>
      <w:r>
        <w:rPr>
          <w:rFonts w:ascii="Calibri" w:hAnsi="Calibri"/>
          <w:b/>
          <w:color w:val="525866"/>
          <w:sz w:val="22"/>
        </w:rPr>
        <w:t>IPO pipeline building:</w:t>
      </w:r>
      <w:r>
        <w:rPr>
          <w:rFonts w:ascii="Calibri" w:hAnsi="Calibri"/>
          <w:b/>
          <w:color w:val="30A46C"/>
          <w:sz w:val="22"/>
        </w:rPr>
        <w:t xml:space="preserve"> MS highlighted "increased backlogs from the IPO pipeline" and noted they hold "about 70% of the top 100 unicorns by market cap in terms of our workplace pipeline." </w:t>
      </w:r>
      <w:r>
        <w:rPr>
          <w:rFonts w:ascii="Calibri" w:hAnsi="Calibri"/>
          <w:color w:val="525866"/>
          <w:sz w:val="22"/>
        </w:rPr>
        <w:t>→ Positive for SCHW's Forge/alternatives platform and workplace business; IPO activity drives NNA and stock plan flows.</w:t>
      </w:r>
    </w:p>
    <w:p>
      <w:pPr>
        <w:pStyle w:val="Heading2"/>
      </w:pPr>
      <w:r>
        <w:rPr>
          <w:rFonts w:ascii="Calibri" w:hAnsi="Calibri"/>
          <w:b/>
          <w:color w:val="3B4259"/>
          <w:sz w:val="28"/>
        </w:rPr>
        <w:t>6.3 Goldman Sachs (GS) — Q2 2026 Earnings Call (July 14, 2026)</w:t>
      </w:r>
    </w:p>
    <w:p>
      <w:r>
        <w:rPr>
          <w:rFonts w:ascii="Calibri" w:hAnsi="Calibri"/>
          <w:b/>
          <w:color w:val="525866"/>
          <w:sz w:val="22"/>
        </w:rPr>
        <w:t xml:space="preserve">Read-Through Relevance: </w:t>
      </w:r>
      <w:r>
        <w:rPr>
          <w:rFonts w:ascii="Calibri" w:hAnsi="Calibri"/>
          <w:color w:val="525866"/>
          <w:sz w:val="22"/>
        </w:rPr>
        <w:t>Moderate-High. GS is a read-through on institutional client activity, trading volumes, alternatives demand, and the AI/IPO cycle.</w:t>
      </w:r>
    </w:p>
    <w:p>
      <w:pPr>
        <w:pStyle w:val="ListBullet"/>
        <w:ind w:left="360" w:hanging="360"/>
      </w:pPr>
      <w:r>
        <w:rPr>
          <w:rFonts w:ascii="Calibri" w:hAnsi="Calibri"/>
          <w:b/>
          <w:color w:val="525866"/>
          <w:sz w:val="22"/>
        </w:rPr>
        <w:t>Record equities revenues of $7.4B:</w:t>
      </w:r>
      <w:r>
        <w:rPr>
          <w:rFonts w:ascii="Calibri" w:hAnsi="Calibri"/>
          <w:b/>
          <w:color w:val="30A46C"/>
          <w:sz w:val="22"/>
        </w:rPr>
        <w:t xml:space="preserve"> GS reported record equities intermediation revenues up 60% YoY and equity financing up 91% YoY, with "single stock volatility and dispersion remained high" and "client activity particularly strong in Asia." </w:t>
      </w:r>
      <w:r>
        <w:rPr>
          <w:rFonts w:ascii="Calibri" w:hAnsi="Calibri"/>
          <w:color w:val="525866"/>
          <w:sz w:val="22"/>
        </w:rPr>
        <w:t>→ Confirms the Q2 trading environment was exceptional; positive for SCHW DARTs and trading revenue.</w:t>
      </w:r>
    </w:p>
    <w:p>
      <w:pPr>
        <w:pStyle w:val="ListBullet"/>
        <w:ind w:left="360" w:hanging="360"/>
      </w:pPr>
      <w:r>
        <w:rPr>
          <w:rFonts w:ascii="Calibri" w:hAnsi="Calibri"/>
          <w:b/>
          <w:color w:val="525866"/>
          <w:sz w:val="22"/>
        </w:rPr>
        <w:t>Record alternatives fundraising of $59B in Q2:</w:t>
      </w:r>
      <w:r>
        <w:rPr>
          <w:rFonts w:ascii="Calibri" w:hAnsi="Calibri"/>
          <w:b/>
          <w:color w:val="30A46C"/>
          <w:sz w:val="22"/>
        </w:rPr>
        <w:t xml:space="preserve"> GS raised a record $59B in alternatives in Q2 and $85B YTD, with "demand for private markets remains robust." Alternative AUM totaled $459B. </w:t>
      </w:r>
      <w:r>
        <w:rPr>
          <w:rFonts w:ascii="Calibri" w:hAnsi="Calibri"/>
          <w:color w:val="525866"/>
          <w:sz w:val="22"/>
        </w:rPr>
        <w:t>→ Positive for SCHW's Forge acquisition and alternatives platform buildout; validates the secular demand thesis.</w:t>
      </w:r>
    </w:p>
    <w:p>
      <w:pPr>
        <w:pStyle w:val="ListBullet"/>
        <w:ind w:left="360" w:hanging="360"/>
      </w:pPr>
      <w:r>
        <w:rPr>
          <w:rFonts w:ascii="Calibri" w:hAnsi="Calibri"/>
          <w:b/>
          <w:color w:val="525866"/>
          <w:sz w:val="22"/>
        </w:rPr>
        <w:t>AI CapEx super cycle:</w:t>
      </w:r>
      <w:r>
        <w:rPr>
          <w:rFonts w:ascii="Calibri" w:hAnsi="Calibri"/>
          <w:b/>
          <w:color w:val="30A46C"/>
          <w:sz w:val="22"/>
        </w:rPr>
        <w:t xml:space="preserve"> GS described being "in the middle of an AI CapEx super cycle" with data center CapEx forecasts for 2026 revised up from $575B to "above $850B." </w:t>
      </w:r>
      <w:r>
        <w:rPr>
          <w:rFonts w:ascii="Calibri" w:hAnsi="Calibri"/>
          <w:color w:val="525866"/>
          <w:sz w:val="22"/>
        </w:rPr>
        <w:t>→ Indirectly positive for SCHW's AI investment thesis and technology-driven client engagement strategy.</w:t>
      </w:r>
    </w:p>
    <w:p>
      <w:pPr>
        <w:pStyle w:val="ListBullet"/>
        <w:ind w:left="360" w:hanging="360"/>
      </w:pPr>
      <w:r>
        <w:rPr>
          <w:rFonts w:ascii="Calibri" w:hAnsi="Calibri"/>
          <w:b/>
          <w:color w:val="525866"/>
          <w:sz w:val="22"/>
        </w:rPr>
        <w:t>Investment banking backlog at 5-year high:</w:t>
      </w:r>
      <w:r>
        <w:rPr>
          <w:rFonts w:ascii="Calibri" w:hAnsi="Calibri"/>
          <w:b/>
          <w:color w:val="30A46C"/>
          <w:sz w:val="22"/>
        </w:rPr>
        <w:t xml:space="preserve"> GS's IB backlog reached its "highest level in five years and second highest on record," with large-cap M&amp;A volumes up 90% in H1 2026. </w:t>
      </w:r>
      <w:r>
        <w:rPr>
          <w:rFonts w:ascii="Calibri" w:hAnsi="Calibri"/>
          <w:color w:val="525866"/>
          <w:sz w:val="22"/>
        </w:rPr>
        <w:t>→ Positive for SCHW's Forge/private markets pipeline and workplace stock plan business as IPO activity accelerates.</w:t>
      </w:r>
    </w:p>
    <w:p>
      <w:pPr>
        <w:pStyle w:val="ListBullet"/>
        <w:ind w:left="360" w:hanging="360"/>
      </w:pPr>
      <w:r>
        <w:rPr>
          <w:rFonts w:ascii="Calibri" w:hAnsi="Calibri"/>
          <w:b/>
          <w:color w:val="525866"/>
          <w:sz w:val="22"/>
        </w:rPr>
        <w:t>Wealth management client assets at record $2T:</w:t>
      </w:r>
      <w:r>
        <w:rPr>
          <w:rFonts w:ascii="Calibri" w:hAnsi="Calibri"/>
          <w:b/>
          <w:color w:val="30A46C"/>
          <w:sz w:val="22"/>
        </w:rPr>
        <w:t xml:space="preserve"> GS wealth management assets hit a record ~$2T, with "34th consecutive quarter of long-term net inflows." Nearly 900 referrals from IB to wealth management since start of 2025. </w:t>
      </w:r>
      <w:r>
        <w:rPr>
          <w:rFonts w:ascii="Calibri" w:hAnsi="Calibri"/>
          <w:color w:val="525866"/>
          <w:sz w:val="22"/>
        </w:rPr>
        <w:t>→ Confirms the high-net-worth wealth management opportunity is expanding; positive for SCHW's advisor services and Schwab Wealth Advisory.</w:t>
      </w:r>
    </w:p>
    <w:p>
      <w:pPr>
        <w:pStyle w:val="Heading2"/>
      </w:pPr>
      <w:r>
        <w:rPr>
          <w:rFonts w:ascii="Calibri" w:hAnsi="Calibri"/>
          <w:b/>
          <w:color w:val="3B4259"/>
          <w:sz w:val="28"/>
        </w:rPr>
        <w:t>6.4 BlackRock (BLK) — Q2 2026 Earnings Call (July 15, 2026)</w:t>
      </w:r>
    </w:p>
    <w:p>
      <w:r>
        <w:rPr>
          <w:rFonts w:ascii="Calibri" w:hAnsi="Calibri"/>
          <w:b/>
          <w:color w:val="525866"/>
          <w:sz w:val="22"/>
        </w:rPr>
        <w:t xml:space="preserve">Read-Through Relevance: </w:t>
      </w:r>
      <w:r>
        <w:rPr>
          <w:rFonts w:ascii="Calibri" w:hAnsi="Calibri"/>
          <w:color w:val="525866"/>
          <w:sz w:val="22"/>
        </w:rPr>
        <w:t>Moderate. BLK is a read-through on ETF flows, wealth management platform dynamics, and the ETF monetization debate directly relevant to SCHW's announced ETF fee strategy.</w:t>
      </w:r>
    </w:p>
    <w:p>
      <w:pPr>
        <w:pStyle w:val="ListBullet"/>
        <w:ind w:left="360" w:hanging="360"/>
      </w:pPr>
      <w:r>
        <w:rPr>
          <w:rFonts w:ascii="Calibri" w:hAnsi="Calibri"/>
          <w:b/>
          <w:color w:val="525866"/>
          <w:sz w:val="22"/>
        </w:rPr>
        <w:t>Record ETF inflows of $178B in Q2:</w:t>
      </w:r>
      <w:r>
        <w:rPr>
          <w:rFonts w:ascii="Calibri" w:hAnsi="Calibri"/>
          <w:b/>
          <w:color w:val="30A46C"/>
          <w:sz w:val="22"/>
        </w:rPr>
        <w:t xml:space="preserve"> BLK's iShares recorded $178B of net inflows in Q2, with core equity ETFs ($85B) and index bond ETFs ($61B) leading. Active ETFs attracted $20B. Total net inflows of $192B. </w:t>
      </w:r>
      <w:r>
        <w:rPr>
          <w:rFonts w:ascii="Calibri" w:hAnsi="Calibri"/>
          <w:color w:val="525866"/>
          <w:sz w:val="22"/>
        </w:rPr>
        <w:t>→ Directly positive for SCHW's ETF platform volumes and the monetization opportunity from its 400+ asset manager relationships.</w:t>
      </w:r>
    </w:p>
    <w:p>
      <w:pPr>
        <w:pStyle w:val="ListBullet"/>
        <w:ind w:left="360" w:hanging="360"/>
      </w:pPr>
      <w:r>
        <w:rPr>
          <w:rFonts w:ascii="Calibri" w:hAnsi="Calibri"/>
          <w:b/>
          <w:color w:val="525866"/>
          <w:sz w:val="22"/>
        </w:rPr>
        <w:t>BLK explicitly addressed SCHW's ETF monetization strategy:</w:t>
      </w:r>
      <w:r>
        <w:rPr>
          <w:rFonts w:ascii="Calibri" w:hAnsi="Calibri"/>
          <w:b/>
          <w:color w:val="E5484D"/>
          <w:sz w:val="22"/>
        </w:rPr>
        <w:t xml:space="preserve"> BLK management stated their "index ETF distribution philosophy and practice does not include tolls" and they "have not been approached by any major U.S. distributors for tolls on index ETFs." They noted economics for active ETFs are "potentially better for both distributors and issuers." </w:t>
      </w:r>
      <w:r>
        <w:rPr>
          <w:rFonts w:ascii="Calibri" w:hAnsi="Calibri"/>
          <w:color w:val="525866"/>
          <w:sz w:val="22"/>
        </w:rPr>
        <w:t>→ Important nuance: BLK is signaling resistance to paying platform fees on index ETFs, which could limit the scope of SCHW's ETF monetization to active ETFs. Management will likely be asked about this dynamic on the Q2 call.</w:t>
      </w:r>
    </w:p>
    <w:p>
      <w:pPr>
        <w:pStyle w:val="ListBullet"/>
        <w:ind w:left="360" w:hanging="360"/>
      </w:pPr>
      <w:r>
        <w:rPr>
          <w:rFonts w:ascii="Calibri" w:hAnsi="Calibri"/>
          <w:b/>
          <w:color w:val="525866"/>
          <w:sz w:val="22"/>
        </w:rPr>
        <w:t>Wealth management platform demand strong:</w:t>
      </w:r>
      <w:r>
        <w:rPr>
          <w:rFonts w:ascii="Calibri" w:hAnsi="Calibri"/>
          <w:b/>
          <w:color w:val="30A46C"/>
          <w:sz w:val="22"/>
        </w:rPr>
        <w:t xml:space="preserve"> BLK noted "wealth managers and institutions globally are consistently growing with BlackRock through market cycles" and that Aperio (direct indexing) is approaching $200B AUM with double-digit organic growth. </w:t>
      </w:r>
      <w:r>
        <w:rPr>
          <w:rFonts w:ascii="Calibri" w:hAnsi="Calibri"/>
          <w:color w:val="525866"/>
          <w:sz w:val="22"/>
        </w:rPr>
        <w:t>→ Positive for SCHW's managed investing and advisor services platform.</w:t>
      </w:r>
    </w:p>
    <w:p>
      <w:pPr>
        <w:pStyle w:val="ListBullet"/>
        <w:ind w:left="360" w:hanging="360"/>
      </w:pPr>
      <w:r>
        <w:rPr>
          <w:rFonts w:ascii="Calibri" w:hAnsi="Calibri"/>
          <w:b/>
          <w:color w:val="525866"/>
          <w:sz w:val="22"/>
        </w:rPr>
        <w:t>Cash management AUM up 10% YoY:</w:t>
      </w:r>
      <w:r>
        <w:rPr>
          <w:rFonts w:ascii="Calibri" w:hAnsi="Calibri"/>
          <w:b/>
          <w:color w:val="30A46C"/>
          <w:sz w:val="22"/>
        </w:rPr>
        <w:t xml:space="preserve"> BLK's cash management AUM grew 10% YoY despite $7B of net outflows from US government funds in Q2. BLK manages $60B of reserves for Circle (stablecoin). </w:t>
      </w:r>
      <w:r>
        <w:rPr>
          <w:rFonts w:ascii="Calibri" w:hAnsi="Calibri"/>
          <w:color w:val="525866"/>
          <w:sz w:val="22"/>
        </w:rPr>
        <w:t>→ Mixed: cash management growth is positive for the industry, but stablecoin/tokenized money market fund competition is a longer-term watch item for SCHW's sweep economics.</w:t>
      </w:r>
    </w:p>
    <w:p>
      <w:pPr>
        <w:pStyle w:val="ListBullet"/>
        <w:ind w:left="360" w:hanging="360"/>
      </w:pPr>
      <w:r>
        <w:rPr>
          <w:rFonts w:ascii="Calibri" w:hAnsi="Calibri"/>
          <w:b/>
          <w:color w:val="525866"/>
          <w:sz w:val="22"/>
        </w:rPr>
        <w:t>US equity markets at new highs:</w:t>
      </w:r>
      <w:r>
        <w:rPr>
          <w:rFonts w:ascii="Calibri" w:hAnsi="Calibri"/>
          <w:b/>
          <w:color w:val="30A46C"/>
          <w:sz w:val="22"/>
        </w:rPr>
        <w:t xml:space="preserve"> BLK's Larry Fink cited "strong market fundamentals, higher corporate margins, and earnings momentum driven by new technology" and noted client AUM grew over $1T in 2026 YTD. </w:t>
      </w:r>
      <w:r>
        <w:rPr>
          <w:rFonts w:ascii="Calibri" w:hAnsi="Calibri"/>
          <w:color w:val="525866"/>
          <w:sz w:val="22"/>
        </w:rPr>
        <w:t>→ Positive for SCHW total client assets and asset management fee revenue.</w:t>
      </w:r>
    </w:p>
    <w:p>
      <w:pPr>
        <w:pStyle w:val="Heading2"/>
      </w:pPr>
      <w:r>
        <w:rPr>
          <w:rFonts w:ascii="Calibri" w:hAnsi="Calibri"/>
          <w:b/>
          <w:color w:val="3B4259"/>
          <w:sz w:val="28"/>
        </w:rPr>
        <w:t>6.5 Robinhood (HOOD) — Bernstein Conference (May 27, 2026) &amp; Piper Sandler Conference (June 4, 2026)</w:t>
      </w:r>
    </w:p>
    <w:p>
      <w:r>
        <w:rPr>
          <w:rFonts w:ascii="Calibri" w:hAnsi="Calibri"/>
          <w:b/>
          <w:color w:val="525866"/>
          <w:sz w:val="22"/>
        </w:rPr>
        <w:t xml:space="preserve">Read-Through Relevance: </w:t>
      </w:r>
      <w:r>
        <w:rPr>
          <w:rFonts w:ascii="Calibri" w:hAnsi="Calibri"/>
          <w:color w:val="525866"/>
          <w:sz w:val="22"/>
        </w:rPr>
        <w:t>Moderate. HOOD is a direct retail trading peer and a read-through on Q2 trading volumes, crypto activity, and competitive dynamics in the retail brokerage space.</w:t>
      </w:r>
    </w:p>
    <w:p>
      <w:pPr>
        <w:pStyle w:val="ListBullet"/>
        <w:ind w:left="360" w:hanging="360"/>
      </w:pPr>
      <w:r>
        <w:rPr>
          <w:rFonts w:ascii="Calibri" w:hAnsi="Calibri"/>
          <w:b/>
          <w:color w:val="525866"/>
          <w:sz w:val="22"/>
        </w:rPr>
        <w:t>Q2 trading volumes "really healthy":</w:t>
      </w:r>
      <w:r>
        <w:rPr>
          <w:rFonts w:ascii="Calibri" w:hAnsi="Calibri"/>
          <w:b/>
          <w:color w:val="30A46C"/>
          <w:sz w:val="22"/>
        </w:rPr>
        <w:t xml:space="preserve"> HOOD described April 2026 as its "second highest month in equity trading, option trading, highest month in futures and prediction markets." May was "very strong" and June 1 was HOOD's "biggest day ever in equity trading." Options take rate for Q2 QTD was "roughly where it was in Q1." </w:t>
      </w:r>
      <w:r>
        <w:rPr>
          <w:rFonts w:ascii="Calibri" w:hAnsi="Calibri"/>
          <w:color w:val="525866"/>
          <w:sz w:val="22"/>
        </w:rPr>
        <w:t>→ Directly positive for SCHW DARTs and trading revenue; confirms the Q2 retail trading environment was exceptional.</w:t>
      </w:r>
    </w:p>
    <w:p>
      <w:pPr>
        <w:pStyle w:val="ListBullet"/>
        <w:ind w:left="360" w:hanging="360"/>
      </w:pPr>
      <w:r>
        <w:rPr>
          <w:rFonts w:ascii="Calibri" w:hAnsi="Calibri"/>
          <w:b/>
          <w:color w:val="525866"/>
          <w:sz w:val="22"/>
        </w:rPr>
        <w:t>Crypto take rate declined ~7–8 bps QoQ:</w:t>
      </w:r>
      <w:r>
        <w:rPr>
          <w:rFonts w:ascii="Calibri" w:hAnsi="Calibri"/>
          <w:b/>
          <w:color w:val="E5484D"/>
          <w:sz w:val="22"/>
        </w:rPr>
        <w:t xml:space="preserve"> HOOD noted its crypto take rate for Q2 QTD was "down about 7 to 8 basis points relative to Q1" but "starting to stabilize." The casual crypto trader "stepped away in Q1" and this continued into April/May. </w:t>
      </w:r>
      <w:r>
        <w:rPr>
          <w:rFonts w:ascii="Calibri" w:hAnsi="Calibri"/>
          <w:color w:val="525866"/>
          <w:sz w:val="22"/>
        </w:rPr>
        <w:t>→ Relevant nuance for SCHW's crypto launch: pricing pressure in crypto is real, and SCHW's 75 bps pricing may face competitive pressure as the market matures.</w:t>
      </w:r>
    </w:p>
    <w:p>
      <w:pPr>
        <w:pStyle w:val="ListBullet"/>
        <w:ind w:left="360" w:hanging="360"/>
      </w:pPr>
      <w:r>
        <w:rPr>
          <w:rFonts w:ascii="Calibri" w:hAnsi="Calibri"/>
          <w:b/>
          <w:color w:val="525866"/>
          <w:sz w:val="22"/>
        </w:rPr>
        <w:t>Pattern Day Trading rule removal (June 4, 2026):</w:t>
      </w:r>
      <w:r>
        <w:rPr>
          <w:rFonts w:ascii="Calibri" w:hAnsi="Calibri"/>
          <w:b/>
          <w:color w:val="E5484D"/>
          <w:sz w:val="22"/>
        </w:rPr>
        <w:t xml:space="preserve"> HOOD's Chief Brokerage Officer noted the PDT rule removal on June 4 will be "pretty monumental with existing customers" and could lead to "some migration of activity from other platforms back to Robinhood." HOOD's customers (avg. account $13K) were "far more impacted by that rule than people at Schwab." </w:t>
      </w:r>
      <w:r>
        <w:rPr>
          <w:rFonts w:ascii="Calibri" w:hAnsi="Calibri"/>
          <w:color w:val="525866"/>
          <w:sz w:val="22"/>
        </w:rPr>
        <w:t>→ Modest competitive risk for SCHW at the margin; HOOD's larger accounts are less affected, but the rule change could shift some active trading activity.</w:t>
      </w:r>
    </w:p>
    <w:p>
      <w:pPr>
        <w:pStyle w:val="ListBullet"/>
        <w:ind w:left="360" w:hanging="360"/>
      </w:pPr>
      <w:r>
        <w:rPr>
          <w:rFonts w:ascii="Calibri" w:hAnsi="Calibri"/>
          <w:b/>
          <w:color w:val="525866"/>
          <w:sz w:val="22"/>
        </w:rPr>
        <w:t>Margin book at record $18B+:</w:t>
      </w:r>
      <w:r>
        <w:rPr>
          <w:rFonts w:ascii="Calibri" w:hAnsi="Calibri"/>
          <w:b/>
          <w:color w:val="30A46C"/>
          <w:sz w:val="22"/>
        </w:rPr>
        <w:t xml:space="preserve"> HOOD's margin book exceeded $18B, its highest level ever, with securities lending input metrics "healthy." </w:t>
      </w:r>
      <w:r>
        <w:rPr>
          <w:rFonts w:ascii="Calibri" w:hAnsi="Calibri"/>
          <w:color w:val="525866"/>
          <w:sz w:val="22"/>
        </w:rPr>
        <w:t>→ Positive for SCHW's margin loan and PAL balances; confirms industry-wide lending demand is strong.</w:t>
      </w:r>
    </w:p>
    <w:p>
      <w:pPr>
        <w:pStyle w:val="ListBullet"/>
        <w:ind w:left="360" w:hanging="360"/>
      </w:pPr>
      <w:r>
        <w:rPr>
          <w:rFonts w:ascii="Calibri" w:hAnsi="Calibri"/>
          <w:b/>
          <w:color w:val="525866"/>
          <w:sz w:val="22"/>
        </w:rPr>
        <w:t>Sweep deposits holding at ~$30B:</w:t>
      </w:r>
      <w:r>
        <w:rPr>
          <w:rFonts w:ascii="Calibri" w:hAnsi="Calibri"/>
          <w:b/>
          <w:color w:val="30A46C"/>
          <w:sz w:val="22"/>
        </w:rPr>
        <w:t xml:space="preserve"> HOOD's sweeps program held ~$30B in deposits with a goal to compound net deposits 20% per year. </w:t>
      </w:r>
      <w:r>
        <w:rPr>
          <w:rFonts w:ascii="Calibri" w:hAnsi="Calibri"/>
          <w:color w:val="525866"/>
          <w:sz w:val="22"/>
        </w:rPr>
        <w:t>→ Confirms retail cash is staying in brokerage sweep accounts; positive for SCHW's sweep balance stability.</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Q2 2026 Read-Through for SCHW</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JPM</w:t>
            </w:r>
          </w:p>
        </w:tc>
        <w:tc>
          <w:tcPr>
            <w:tcW w:type="dxa" w:w="2160"/>
          </w:tcPr>
          <w:p>
            <w:r>
              <w:rPr>
                <w:rFonts w:ascii="Calibri" w:hAnsi="Calibri"/>
                <w:sz w:val="22"/>
              </w:rPr>
              <w:t>Q2 Earnings, Jul 14</w:t>
            </w:r>
          </w:p>
        </w:tc>
        <w:tc>
          <w:tcPr>
            <w:tcW w:type="dxa" w:w="2160"/>
          </w:tcPr>
          <w:p>
            <w:r>
              <w:rPr>
                <w:rFonts w:ascii="Calibri" w:hAnsi="Calibri"/>
                <w:sz w:val="22"/>
              </w:rPr>
              <w:t>Equities +86% YoY; NII beat on sweep balances; deposits +3% YoY; Smart Cash tool in testing</w:t>
            </w:r>
          </w:p>
        </w:tc>
        <w:tc>
          <w:tcPr>
            <w:tcW w:type="dxa" w:w="2160"/>
          </w:tcPr>
          <w:p>
            <w:r>
              <w:rPr>
                <w:rFonts w:ascii="Calibri" w:hAnsi="Calibri"/>
                <w:b/>
                <w:color w:val="30A46C"/>
                <w:sz w:val="22"/>
              </w:rPr>
              <w:t>Mostly ↑</w:t>
            </w:r>
          </w:p>
        </w:tc>
      </w:tr>
      <w:tr>
        <w:tc>
          <w:tcPr>
            <w:tcW w:type="dxa" w:w="2160"/>
          </w:tcPr>
          <w:p>
            <w:r>
              <w:rPr>
                <w:rFonts w:ascii="Calibri" w:hAnsi="Calibri"/>
                <w:sz w:val="22"/>
              </w:rPr>
              <w:t>MS</w:t>
            </w:r>
          </w:p>
        </w:tc>
        <w:tc>
          <w:tcPr>
            <w:tcW w:type="dxa" w:w="2160"/>
          </w:tcPr>
          <w:p>
            <w:r>
              <w:rPr>
                <w:rFonts w:ascii="Calibri" w:hAnsi="Calibri"/>
                <w:sz w:val="22"/>
              </w:rPr>
              <w:t>Q2 Earnings, Jul 15</w:t>
            </w:r>
          </w:p>
        </w:tc>
        <w:tc>
          <w:tcPr>
            <w:tcW w:type="dxa" w:w="2160"/>
          </w:tcPr>
          <w:p>
            <w:r>
              <w:rPr>
                <w:rFonts w:ascii="Calibri" w:hAnsi="Calibri"/>
                <w:sz w:val="22"/>
              </w:rPr>
              <w:t>Record NNA $148B; NII beat on sweep balances; transactional revenue +20% YoY; loan growth strong</w:t>
            </w:r>
          </w:p>
        </w:tc>
        <w:tc>
          <w:tcPr>
            <w:tcW w:type="dxa" w:w="2160"/>
          </w:tcPr>
          <w:p>
            <w:r>
              <w:rPr>
                <w:rFonts w:ascii="Calibri" w:hAnsi="Calibri"/>
                <w:b/>
                <w:color w:val="30A46C"/>
                <w:sz w:val="22"/>
              </w:rPr>
              <w:t>↑↑</w:t>
            </w:r>
          </w:p>
        </w:tc>
      </w:tr>
      <w:tr>
        <w:tc>
          <w:tcPr>
            <w:tcW w:type="dxa" w:w="2160"/>
          </w:tcPr>
          <w:p>
            <w:r>
              <w:rPr>
                <w:rFonts w:ascii="Calibri" w:hAnsi="Calibri"/>
                <w:sz w:val="22"/>
              </w:rPr>
              <w:t>GS</w:t>
            </w:r>
          </w:p>
        </w:tc>
        <w:tc>
          <w:tcPr>
            <w:tcW w:type="dxa" w:w="2160"/>
          </w:tcPr>
          <w:p>
            <w:r>
              <w:rPr>
                <w:rFonts w:ascii="Calibri" w:hAnsi="Calibri"/>
                <w:sz w:val="22"/>
              </w:rPr>
              <w:t>Q2 Earnings, Jul 14</w:t>
            </w:r>
          </w:p>
        </w:tc>
        <w:tc>
          <w:tcPr>
            <w:tcW w:type="dxa" w:w="2160"/>
          </w:tcPr>
          <w:p>
            <w:r>
              <w:rPr>
                <w:rFonts w:ascii="Calibri" w:hAnsi="Calibri"/>
                <w:sz w:val="22"/>
              </w:rPr>
              <w:t>Record equities $7.4B; alternatives fundraising record $59B; IB backlog 5-year high; wealth AUM record $2T</w:t>
            </w:r>
          </w:p>
        </w:tc>
        <w:tc>
          <w:tcPr>
            <w:tcW w:type="dxa" w:w="2160"/>
          </w:tcPr>
          <w:p>
            <w:r>
              <w:rPr>
                <w:rFonts w:ascii="Calibri" w:hAnsi="Calibri"/>
                <w:b/>
                <w:color w:val="30A46C"/>
                <w:sz w:val="22"/>
              </w:rPr>
              <w:t>↑↑</w:t>
            </w:r>
          </w:p>
        </w:tc>
      </w:tr>
      <w:tr>
        <w:tc>
          <w:tcPr>
            <w:tcW w:type="dxa" w:w="2160"/>
          </w:tcPr>
          <w:p>
            <w:r>
              <w:rPr>
                <w:rFonts w:ascii="Calibri" w:hAnsi="Calibri"/>
                <w:sz w:val="22"/>
              </w:rPr>
              <w:t>BLK</w:t>
            </w:r>
          </w:p>
        </w:tc>
        <w:tc>
          <w:tcPr>
            <w:tcW w:type="dxa" w:w="2160"/>
          </w:tcPr>
          <w:p>
            <w:r>
              <w:rPr>
                <w:rFonts w:ascii="Calibri" w:hAnsi="Calibri"/>
                <w:sz w:val="22"/>
              </w:rPr>
              <w:t>Q2 Earnings, Jul 15</w:t>
            </w:r>
          </w:p>
        </w:tc>
        <w:tc>
          <w:tcPr>
            <w:tcW w:type="dxa" w:w="2160"/>
          </w:tcPr>
          <w:p>
            <w:r>
              <w:rPr>
                <w:rFonts w:ascii="Calibri" w:hAnsi="Calibri"/>
                <w:sz w:val="22"/>
              </w:rPr>
              <w:t>ETF inflows $178B; BLK resists index ETF tolls (limits SCHW monetization scope); cash AUM +10% YoY</w:t>
            </w:r>
          </w:p>
        </w:tc>
        <w:tc>
          <w:tcPr>
            <w:tcW w:type="dxa" w:w="2160"/>
          </w:tcPr>
          <w:p>
            <w:r>
              <w:rPr>
                <w:rFonts w:ascii="Calibri" w:hAnsi="Calibri"/>
                <w:b/>
                <w:color w:val="002FA7"/>
                <w:sz w:val="22"/>
              </w:rPr>
              <w:t>Mixed</w:t>
            </w:r>
          </w:p>
        </w:tc>
      </w:tr>
      <w:tr>
        <w:tc>
          <w:tcPr>
            <w:tcW w:type="dxa" w:w="2160"/>
          </w:tcPr>
          <w:p>
            <w:r>
              <w:rPr>
                <w:rFonts w:ascii="Calibri" w:hAnsi="Calibri"/>
                <w:sz w:val="22"/>
              </w:rPr>
              <w:t>HOOD</w:t>
            </w:r>
          </w:p>
        </w:tc>
        <w:tc>
          <w:tcPr>
            <w:tcW w:type="dxa" w:w="2160"/>
          </w:tcPr>
          <w:p>
            <w:r>
              <w:rPr>
                <w:rFonts w:ascii="Calibri" w:hAnsi="Calibri"/>
                <w:sz w:val="22"/>
              </w:rPr>
              <w:t>Bernstein Conf., May 27; Piper Sandler Conf., Jun 4</w:t>
            </w:r>
          </w:p>
        </w:tc>
        <w:tc>
          <w:tcPr>
            <w:tcW w:type="dxa" w:w="2160"/>
          </w:tcPr>
          <w:p>
            <w:r>
              <w:rPr>
                <w:rFonts w:ascii="Calibri" w:hAnsi="Calibri"/>
                <w:sz w:val="22"/>
              </w:rPr>
              <w:t>Q2 trading volumes record; crypto take rate -7-8 bps QoQ; PDT rule removal modest competitive risk; margin book record</w:t>
            </w:r>
          </w:p>
        </w:tc>
        <w:tc>
          <w:tcPr>
            <w:tcW w:type="dxa" w:w="2160"/>
          </w:tcPr>
          <w:p>
            <w:r>
              <w:rPr>
                <w:rFonts w:ascii="Calibri" w:hAnsi="Calibri"/>
                <w:b/>
                <w:color w:val="30A46C"/>
                <w:sz w:val="22"/>
              </w:rPr>
              <w:t>Mostly ↑</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was the May 14 Investor Day, where management raised guidance materially and launched crypto to first clients — both of which have been net positives for the stock. The June debt issuance is balance sheet management, not a signal of stress.</w:t>
      </w:r>
    </w:p>
    <w:p>
      <w:pPr>
        <w:pStyle w:val="ListBullet"/>
        <w:ind w:left="360" w:hanging="360"/>
      </w:pPr>
      <w:r>
        <w:rPr>
          <w:rFonts w:ascii="Calibri" w:hAnsi="Calibri"/>
          <w:b/>
          <w:color w:val="525866"/>
          <w:sz w:val="22"/>
        </w:rPr>
        <w:t>May 14, 2026 — Institutional Investor Day (most important):</w:t>
      </w:r>
      <w:r>
        <w:rPr>
          <w:rFonts w:ascii="Calibri" w:hAnsi="Calibri"/>
          <w:color w:val="525866"/>
          <w:sz w:val="22"/>
        </w:rPr>
        <w:t xml:space="preserve"> Management raised FY 2026 revenue growth guidance to +14%–15% (from +9.5%–10.5%), guided Q2 EPS to ~$1.50, set FY NIM at 3.00%–3.10%, and provided the first explicit Q2 scenario. Crypto was launched to first clients the same week. AI product roadmap detailed with Portfolio Insights live, Schwab Assistant launching in months, and agentic capabilities in summer 2026. </w:t>
      </w:r>
      <w:r>
        <w:rPr>
          <w:rFonts w:ascii="Calibri" w:hAnsi="Calibri"/>
          <w:b/>
          <w:color w:val="525866"/>
          <w:sz w:val="22"/>
        </w:rPr>
        <w:t xml:space="preserve">Implication: </w:t>
      </w:r>
      <w:r>
        <w:rPr>
          <w:rFonts w:ascii="Calibri" w:hAnsi="Calibri"/>
          <w:color w:val="525866"/>
          <w:sz w:val="22"/>
        </w:rPr>
        <w:t>This was the single most important post-Q1 event; it reset the earnings bar higher and drove the bulk of the stock's recovery from the post-Q1 sell-off.</w:t>
      </w:r>
    </w:p>
    <w:p>
      <w:pPr>
        <w:pStyle w:val="ListBullet"/>
        <w:ind w:left="360" w:hanging="360"/>
      </w:pPr>
      <w:r>
        <w:rPr>
          <w:rFonts w:ascii="Calibri" w:hAnsi="Calibri"/>
          <w:b/>
          <w:color w:val="525866"/>
          <w:sz w:val="22"/>
        </w:rPr>
        <w:t>May 14, 2026 — Crypto launch to first clients:</w:t>
      </w:r>
      <w:r>
        <w:rPr>
          <w:rFonts w:ascii="Calibri" w:hAnsi="Calibri"/>
          <w:color w:val="525866"/>
          <w:sz w:val="22"/>
        </w:rPr>
        <w:t xml:space="preserve"> Schwab began inviting first clients to its spot crypto offering (Bitcoin and Ether at 75 bps), with general availability planned for later in 2026. The company is building its own custody infrastructure. </w:t>
      </w:r>
      <w:r>
        <w:rPr>
          <w:rFonts w:ascii="Calibri" w:hAnsi="Calibri"/>
          <w:b/>
          <w:color w:val="525866"/>
          <w:sz w:val="22"/>
        </w:rPr>
        <w:t xml:space="preserve">Implication: </w:t>
      </w:r>
      <w:r>
        <w:rPr>
          <w:rFonts w:ascii="Calibri" w:hAnsi="Calibri"/>
          <w:color w:val="525866"/>
          <w:sz w:val="22"/>
        </w:rPr>
        <w:t>Crypto is a new revenue line and client acquisition tool; Q2 will be the first quarter with any crypto revenue contribution, though it will be immaterial to the headline numbers.</w:t>
      </w:r>
    </w:p>
    <w:p>
      <w:pPr>
        <w:pStyle w:val="ListBullet"/>
        <w:ind w:left="360" w:hanging="360"/>
      </w:pPr>
      <w:r>
        <w:rPr>
          <w:rFonts w:ascii="Calibri" w:hAnsi="Calibri"/>
          <w:b/>
          <w:color w:val="525866"/>
          <w:sz w:val="22"/>
        </w:rPr>
        <w:t>May 28, 2026 — CEO open-market purchase:</w:t>
      </w:r>
      <w:r>
        <w:rPr>
          <w:rFonts w:ascii="Calibri" w:hAnsi="Calibri"/>
          <w:color w:val="525866"/>
          <w:sz w:val="22"/>
        </w:rPr>
        <w:t xml:space="preserve"> President &amp; CEO Rick Wurster purchased 21,959 shares of SCHW common stock at ~$85.35/share (~$1.87M) in an open-market, discretionary transaction (not a 10b5-1 plan). </w:t>
      </w:r>
      <w:r>
        <w:rPr>
          <w:rFonts w:ascii="Calibri" w:hAnsi="Calibri"/>
          <w:b/>
          <w:color w:val="525866"/>
          <w:sz w:val="22"/>
        </w:rPr>
        <w:t xml:space="preserve">Implication: </w:t>
      </w:r>
      <w:r>
        <w:rPr>
          <w:rFonts w:ascii="Calibri" w:hAnsi="Calibri"/>
          <w:color w:val="525866"/>
          <w:sz w:val="22"/>
        </w:rPr>
        <w:t>Meaningful bullish signal from the CEO at a price ~17% below current levels; suggests management conviction in the earnings trajectory.</w:t>
      </w:r>
    </w:p>
    <w:p>
      <w:pPr>
        <w:pStyle w:val="ListBullet"/>
        <w:ind w:left="360" w:hanging="360"/>
      </w:pPr>
      <w:r>
        <w:rPr>
          <w:rFonts w:ascii="Calibri" w:hAnsi="Calibri"/>
          <w:b/>
          <w:color w:val="525866"/>
          <w:sz w:val="22"/>
        </w:rPr>
        <w:t>June 4, 2026 — Pattern Day Trading rule removed:</w:t>
      </w:r>
      <w:r>
        <w:rPr>
          <w:rFonts w:ascii="Calibri" w:hAnsi="Calibri"/>
          <w:color w:val="525866"/>
          <w:sz w:val="22"/>
        </w:rPr>
        <w:t xml:space="preserve"> The SEC/FINRA removed the PDT rule, which required accounts under $25K to limit day trades. Robinhood noted this will be "monumental" for its customer base but acknowledged SCHW's larger average account sizes are less affected. </w:t>
      </w:r>
      <w:r>
        <w:rPr>
          <w:rFonts w:ascii="Calibri" w:hAnsi="Calibri"/>
          <w:b/>
          <w:color w:val="525866"/>
          <w:sz w:val="22"/>
        </w:rPr>
        <w:t xml:space="preserve">Implication: </w:t>
      </w:r>
      <w:r>
        <w:rPr>
          <w:rFonts w:ascii="Calibri" w:hAnsi="Calibri"/>
          <w:color w:val="525866"/>
          <w:sz w:val="22"/>
        </w:rPr>
        <w:t>Modest competitive risk at the margin; SCHW's wealthier client base is largely unaffected, but the rule change could shift some active trading activity to HOOD.</w:t>
      </w:r>
    </w:p>
    <w:p>
      <w:pPr>
        <w:pStyle w:val="ListBullet"/>
        <w:ind w:left="360" w:hanging="360"/>
      </w:pPr>
      <w:r>
        <w:rPr>
          <w:rFonts w:ascii="Calibri" w:hAnsi="Calibri"/>
          <w:b/>
          <w:color w:val="525866"/>
          <w:sz w:val="22"/>
        </w:rPr>
        <w:t>June 25–29, 2026 — $1B Senior Notes issuance:</w:t>
      </w:r>
      <w:r>
        <w:rPr>
          <w:rFonts w:ascii="Calibri" w:hAnsi="Calibri"/>
          <w:color w:val="525866"/>
          <w:sz w:val="22"/>
        </w:rPr>
        <w:t xml:space="preserve"> SCHW issued $1B in 4.603% Fixed-to-Floating Rate Senior Notes due 2029 (net proceeds ~$995.5M). CFO Michael Verdeschi signed the 8-K. </w:t>
      </w:r>
      <w:r>
        <w:rPr>
          <w:rFonts w:ascii="Calibri" w:hAnsi="Calibri"/>
          <w:b/>
          <w:color w:val="525866"/>
          <w:sz w:val="22"/>
        </w:rPr>
        <w:t xml:space="preserve">Implication: </w:t>
      </w:r>
      <w:r>
        <w:rPr>
          <w:rFonts w:ascii="Calibri" w:hAnsi="Calibri"/>
          <w:color w:val="525866"/>
          <w:sz w:val="22"/>
        </w:rPr>
        <w:t>Routine balance sheet management; proceeds likely used for general corporate purposes or to fund balance sheet growth. Not a guidance event. The fixed-to-floating structure suggests management is comfortable with the rate environment.</w:t>
      </w:r>
    </w:p>
    <w:p>
      <w:pPr>
        <w:pStyle w:val="ListBullet"/>
        <w:ind w:left="360" w:hanging="360"/>
      </w:pPr>
      <w:r>
        <w:rPr>
          <w:rFonts w:ascii="Calibri" w:hAnsi="Calibri"/>
          <w:b/>
          <w:color w:val="525866"/>
          <w:sz w:val="22"/>
        </w:rPr>
        <w:t>July 1–10, 2026 — Peer earnings read-throughs (JPM, GS, MS, BLK):</w:t>
      </w:r>
      <w:r>
        <w:rPr>
          <w:rFonts w:ascii="Calibri" w:hAnsi="Calibri"/>
          <w:color w:val="525866"/>
          <w:sz w:val="22"/>
        </w:rPr>
        <w:t xml:space="preserve"> All four major financial peers reported record Q2 results, with equities revenues up 60–86% YoY, record NNA, and NII beats. SCHW stock broke above $100 for the first time since Q1 earnings during this period. </w:t>
      </w:r>
      <w:r>
        <w:rPr>
          <w:rFonts w:ascii="Calibri" w:hAnsi="Calibri"/>
          <w:b/>
          <w:color w:val="525866"/>
          <w:sz w:val="22"/>
        </w:rPr>
        <w:t xml:space="preserve">Implication: </w:t>
      </w:r>
      <w:r>
        <w:rPr>
          <w:rFonts w:ascii="Calibri" w:hAnsi="Calibri"/>
          <w:color w:val="525866"/>
          <w:sz w:val="22"/>
        </w:rPr>
        <w:t>Peer results have pre-validated the Q2 environment for SCHW; the stock has already partially priced in a strong print.</w:t>
      </w:r>
    </w:p>
    <w:p>
      <w:pPr>
        <w:pStyle w:val="ListBullet"/>
        <w:ind w:left="360" w:hanging="360"/>
      </w:pPr>
      <w:r>
        <w:rPr>
          <w:rFonts w:ascii="Calibri" w:hAnsi="Calibri"/>
          <w:b/>
          <w:color w:val="525866"/>
          <w:sz w:val="22"/>
        </w:rPr>
        <w:t>Ongoing — ETF monetization negotiations:</w:t>
      </w:r>
      <w:r>
        <w:rPr>
          <w:rFonts w:ascii="Calibri" w:hAnsi="Calibri"/>
          <w:color w:val="525866"/>
          <w:sz w:val="22"/>
        </w:rPr>
        <w:t xml:space="preserve"> SCHW has begun conversations with 400+ asset managers on ETF platform fees. BLK's Q2 commentary confirmed it has not been approached for index ETF tolls and would resist them. </w:t>
      </w:r>
      <w:r>
        <w:rPr>
          <w:rFonts w:ascii="Calibri" w:hAnsi="Calibri"/>
          <w:b/>
          <w:color w:val="525866"/>
          <w:sz w:val="22"/>
        </w:rPr>
        <w:t xml:space="preserve">Implication: </w:t>
      </w:r>
      <w:r>
        <w:rPr>
          <w:rFonts w:ascii="Calibri" w:hAnsi="Calibri"/>
          <w:color w:val="525866"/>
          <w:sz w:val="22"/>
        </w:rPr>
        <w:t>ETF monetization is likely to be limited to active ETFs in the near term; material revenue impact expected in 2027+. Management will likely be asked for an update on the Q2 call.</w:t>
      </w:r>
    </w:p>
    <w:p>
      <w:pPr>
        <w:pStyle w:val="ListBullet"/>
        <w:ind w:left="360" w:hanging="360"/>
      </w:pPr>
      <w:r>
        <w:rPr>
          <w:rFonts w:ascii="Calibri" w:hAnsi="Calibri"/>
          <w:b/>
          <w:color w:val="525866"/>
          <w:sz w:val="22"/>
        </w:rPr>
        <w:t>Ongoing — JPMorgan Smart Cash tool in testing:</w:t>
      </w:r>
      <w:r>
        <w:rPr>
          <w:rFonts w:ascii="Calibri" w:hAnsi="Calibri"/>
          <w:color w:val="525866"/>
          <w:sz w:val="22"/>
        </w:rPr>
        <w:t xml:space="preserve"> JPM confirmed its Smart Cash tool is in testing for a "narrow segment of accounts" with "certain tests coming out this year." </w:t>
      </w:r>
      <w:r>
        <w:rPr>
          <w:rFonts w:ascii="Calibri" w:hAnsi="Calibri"/>
          <w:b/>
          <w:color w:val="525866"/>
          <w:sz w:val="22"/>
        </w:rPr>
        <w:t xml:space="preserve">Implication: </w:t>
      </w:r>
      <w:r>
        <w:rPr>
          <w:rFonts w:ascii="Calibri" w:hAnsi="Calibri"/>
          <w:color w:val="525866"/>
          <w:sz w:val="22"/>
        </w:rPr>
        <w:t>The competitive threat to SCHW's sweep economics is real but remains nascent; management's response and any data on sweep balance trends will be closely watched.</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The standout transaction is CEO Rick Wurster's </w:t>
      </w:r>
      <w:r>
        <w:rPr>
          <w:rFonts w:ascii="Calibri" w:hAnsi="Calibri"/>
          <w:b/>
          <w:color w:val="525866"/>
          <w:sz w:val="22"/>
        </w:rPr>
        <w:t>discretionary open-market purchase of ~$1.87M on May 28</w:t>
      </w:r>
      <w:r>
        <w:rPr>
          <w:rFonts w:ascii="Calibri" w:hAnsi="Calibri"/>
          <w:color w:val="525866"/>
          <w:sz w:val="22"/>
        </w:rPr>
        <w:t xml:space="preserve"> — a meaningful bullish signal at a price ~17% below current levels. The Schwab family's ongoing sales are large in absolute terms but appear to be part of a long-running estate/trust distribution program and should not be read as a negative signal. 10b5-1 plan sales by MDs are routine.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Disclosure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Wurster, Richard A.</w:t>
            </w:r>
          </w:p>
        </w:tc>
        <w:tc>
          <w:tcPr>
            <w:tcW w:type="dxa" w:w="1080"/>
          </w:tcPr>
          <w:p>
            <w:r>
              <w:rPr>
                <w:rFonts w:ascii="Calibri" w:hAnsi="Calibri"/>
                <w:sz w:val="22"/>
              </w:rPr>
              <w:t>President &amp; CEO, Director</w:t>
            </w:r>
          </w:p>
        </w:tc>
        <w:tc>
          <w:tcPr>
            <w:tcW w:type="dxa" w:w="1080"/>
          </w:tcPr>
          <w:p>
            <w:r>
              <w:rPr>
                <w:rFonts w:ascii="Calibri" w:hAnsi="Calibri"/>
                <w:b/>
                <w:color w:val="30A46C"/>
                <w:sz w:val="22"/>
              </w:rPr>
              <w:t>Open Market Buy</w:t>
            </w:r>
          </w:p>
        </w:tc>
        <w:tc>
          <w:tcPr>
            <w:tcW w:type="dxa" w:w="1080"/>
          </w:tcPr>
          <w:p>
            <w:r>
              <w:rPr>
                <w:rFonts w:ascii="Calibri" w:hAnsi="Calibri"/>
                <w:sz w:val="22"/>
              </w:rPr>
              <w:t>21,959</w:t>
            </w:r>
          </w:p>
        </w:tc>
        <w:tc>
          <w:tcPr>
            <w:tcW w:type="dxa" w:w="1080"/>
          </w:tcPr>
          <w:p>
            <w:r>
              <w:rPr>
                <w:rFonts w:ascii="Calibri" w:hAnsi="Calibri"/>
                <w:sz w:val="22"/>
              </w:rPr>
              <w:t>~$1.87M</w:t>
            </w:r>
          </w:p>
        </w:tc>
        <w:tc>
          <w:tcPr>
            <w:tcW w:type="dxa" w:w="1080"/>
          </w:tcPr>
          <w:p>
            <w:r>
              <w:rPr>
                <w:rFonts w:ascii="Calibri" w:hAnsi="Calibri"/>
                <w:sz w:val="22"/>
              </w:rPr>
              <w:t>May 28, 2026</w:t>
            </w:r>
          </w:p>
        </w:tc>
        <w:tc>
          <w:tcPr>
            <w:tcW w:type="dxa" w:w="1080"/>
          </w:tcPr>
          <w:p>
            <w:r>
              <w:rPr>
                <w:rFonts w:ascii="Calibri" w:hAnsi="Calibri"/>
                <w:sz w:val="22"/>
              </w:rPr>
              <w:t>May 28, 2026</w:t>
            </w:r>
          </w:p>
        </w:tc>
        <w:tc>
          <w:tcPr>
            <w:tcW w:type="dxa" w:w="1080"/>
          </w:tcPr>
          <w:p>
            <w:r>
              <w:rPr>
                <w:rFonts w:ascii="Calibri" w:hAnsi="Calibri"/>
                <w:sz w:val="22"/>
              </w:rPr>
              <w:t>Discretionary; NOT a 10b5-1 plan. Purchased at ~$85.35. Significant bullish signal from CEO.</w:t>
            </w:r>
          </w:p>
        </w:tc>
      </w:tr>
      <w:tr>
        <w:tc>
          <w:tcPr>
            <w:tcW w:type="dxa" w:w="1080"/>
          </w:tcPr>
          <w:p>
            <w:r>
              <w:rPr>
                <w:rFonts w:ascii="Calibri" w:hAnsi="Calibri"/>
                <w:sz w:val="22"/>
              </w:rPr>
              <w:t>Schwab, Charles R.</w:t>
            </w:r>
          </w:p>
        </w:tc>
        <w:tc>
          <w:tcPr>
            <w:tcW w:type="dxa" w:w="1080"/>
          </w:tcPr>
          <w:p>
            <w:r>
              <w:rPr>
                <w:rFonts w:ascii="Calibri" w:hAnsi="Calibri"/>
                <w:sz w:val="22"/>
              </w:rPr>
              <w:t>Co-Chairman, Director</w:t>
            </w:r>
          </w:p>
        </w:tc>
        <w:tc>
          <w:tcPr>
            <w:tcW w:type="dxa" w:w="1080"/>
          </w:tcPr>
          <w:p>
            <w:r>
              <w:rPr>
                <w:rFonts w:ascii="Calibri" w:hAnsi="Calibri"/>
                <w:sz w:val="22"/>
              </w:rPr>
              <w:t>Open Market Sale</w:t>
            </w:r>
          </w:p>
        </w:tc>
        <w:tc>
          <w:tcPr>
            <w:tcW w:type="dxa" w:w="1080"/>
          </w:tcPr>
          <w:p>
            <w:r>
              <w:rPr>
                <w:rFonts w:ascii="Calibri" w:hAnsi="Calibri"/>
                <w:sz w:val="22"/>
              </w:rPr>
              <w:t>27,500</w:t>
            </w:r>
          </w:p>
        </w:tc>
        <w:tc>
          <w:tcPr>
            <w:tcW w:type="dxa" w:w="1080"/>
          </w:tcPr>
          <w:p>
            <w:r>
              <w:rPr>
                <w:rFonts w:ascii="Calibri" w:hAnsi="Calibri"/>
                <w:sz w:val="22"/>
              </w:rPr>
              <w:t>~$2.3M</w:t>
            </w:r>
          </w:p>
        </w:tc>
        <w:tc>
          <w:tcPr>
            <w:tcW w:type="dxa" w:w="1080"/>
          </w:tcPr>
          <w:p>
            <w:r>
              <w:rPr>
                <w:rFonts w:ascii="Calibri" w:hAnsi="Calibri"/>
                <w:sz w:val="22"/>
              </w:rPr>
              <w:t>May 19, 2026</w:t>
            </w:r>
          </w:p>
        </w:tc>
        <w:tc>
          <w:tcPr>
            <w:tcW w:type="dxa" w:w="1080"/>
          </w:tcPr>
          <w:p>
            <w:r>
              <w:rPr>
                <w:rFonts w:ascii="Calibri" w:hAnsi="Calibri"/>
                <w:sz w:val="22"/>
              </w:rPr>
              <w:t>May 20, 2026</w:t>
            </w:r>
          </w:p>
        </w:tc>
        <w:tc>
          <w:tcPr>
            <w:tcW w:type="dxa" w:w="1080"/>
          </w:tcPr>
          <w:p>
            <w:r>
              <w:rPr>
                <w:rFonts w:ascii="Calibri" w:hAnsi="Calibri"/>
                <w:sz w:val="22"/>
              </w:rPr>
              <w:t>Sold via Limited Partnership (indirect). Part of ongoing estate/trust distribution program; not a 10b5-1 plan per filing.</w:t>
            </w:r>
          </w:p>
        </w:tc>
      </w:tr>
      <w:tr>
        <w:tc>
          <w:tcPr>
            <w:tcW w:type="dxa" w:w="1080"/>
          </w:tcPr>
          <w:p>
            <w:r>
              <w:rPr>
                <w:rFonts w:ascii="Calibri" w:hAnsi="Calibri"/>
                <w:sz w:val="22"/>
              </w:rPr>
              <w:t>Schwab, Charles R.</w:t>
            </w:r>
          </w:p>
        </w:tc>
        <w:tc>
          <w:tcPr>
            <w:tcW w:type="dxa" w:w="1080"/>
          </w:tcPr>
          <w:p>
            <w:r>
              <w:rPr>
                <w:rFonts w:ascii="Calibri" w:hAnsi="Calibri"/>
                <w:sz w:val="22"/>
              </w:rPr>
              <w:t>Co-Chairman, Director</w:t>
            </w:r>
          </w:p>
        </w:tc>
        <w:tc>
          <w:tcPr>
            <w:tcW w:type="dxa" w:w="1080"/>
          </w:tcPr>
          <w:p>
            <w:r>
              <w:rPr>
                <w:rFonts w:ascii="Calibri" w:hAnsi="Calibri"/>
                <w:sz w:val="22"/>
              </w:rPr>
              <w:t>Open Market Sale</w:t>
            </w:r>
          </w:p>
        </w:tc>
        <w:tc>
          <w:tcPr>
            <w:tcW w:type="dxa" w:w="1080"/>
          </w:tcPr>
          <w:p>
            <w:r>
              <w:rPr>
                <w:rFonts w:ascii="Calibri" w:hAnsi="Calibri"/>
                <w:sz w:val="22"/>
              </w:rPr>
              <w:t>109,300 + 109,300</w:t>
            </w:r>
          </w:p>
        </w:tc>
        <w:tc>
          <w:tcPr>
            <w:tcW w:type="dxa" w:w="1080"/>
          </w:tcPr>
          <w:p>
            <w:r>
              <w:rPr>
                <w:rFonts w:ascii="Calibri" w:hAnsi="Calibri"/>
                <w:sz w:val="22"/>
              </w:rPr>
              <w:t>~$18.6M</w:t>
            </w:r>
          </w:p>
        </w:tc>
        <w:tc>
          <w:tcPr>
            <w:tcW w:type="dxa" w:w="1080"/>
          </w:tcPr>
          <w:p>
            <w:r>
              <w:rPr>
                <w:rFonts w:ascii="Calibri" w:hAnsi="Calibri"/>
                <w:sz w:val="22"/>
              </w:rPr>
              <w:t>May 4–6, 2026</w:t>
            </w:r>
          </w:p>
        </w:tc>
        <w:tc>
          <w:tcPr>
            <w:tcW w:type="dxa" w:w="1080"/>
          </w:tcPr>
          <w:p>
            <w:r>
              <w:rPr>
                <w:rFonts w:ascii="Calibri" w:hAnsi="Calibri"/>
                <w:sz w:val="22"/>
              </w:rPr>
              <w:t>May 6, 2026</w:t>
            </w:r>
          </w:p>
        </w:tc>
        <w:tc>
          <w:tcPr>
            <w:tcW w:type="dxa" w:w="1080"/>
          </w:tcPr>
          <w:p>
            <w:r>
              <w:rPr>
                <w:rFonts w:ascii="Calibri" w:hAnsi="Calibri"/>
                <w:sz w:val="22"/>
              </w:rPr>
              <w:t>Sold via Limited Partnership (indirect). Large in absolute terms; consistent with long-running estate distribution pattern.</w:t>
            </w:r>
          </w:p>
        </w:tc>
      </w:tr>
      <w:tr>
        <w:tc>
          <w:tcPr>
            <w:tcW w:type="dxa" w:w="1080"/>
          </w:tcPr>
          <w:p>
            <w:r>
              <w:rPr>
                <w:rFonts w:ascii="Calibri" w:hAnsi="Calibri"/>
                <w:sz w:val="22"/>
              </w:rPr>
              <w:t>Schwab, Charles R.</w:t>
            </w:r>
          </w:p>
        </w:tc>
        <w:tc>
          <w:tcPr>
            <w:tcW w:type="dxa" w:w="1080"/>
          </w:tcPr>
          <w:p>
            <w:r>
              <w:rPr>
                <w:rFonts w:ascii="Calibri" w:hAnsi="Calibri"/>
                <w:sz w:val="22"/>
              </w:rPr>
              <w:t>Co-Chairman, Director</w:t>
            </w:r>
          </w:p>
        </w:tc>
        <w:tc>
          <w:tcPr>
            <w:tcW w:type="dxa" w:w="1080"/>
          </w:tcPr>
          <w:p>
            <w:r>
              <w:rPr>
                <w:rFonts w:ascii="Calibri" w:hAnsi="Calibri"/>
                <w:sz w:val="22"/>
              </w:rPr>
              <w:t>Open Market Sale</w:t>
            </w:r>
          </w:p>
        </w:tc>
        <w:tc>
          <w:tcPr>
            <w:tcW w:type="dxa" w:w="1080"/>
          </w:tcPr>
          <w:p>
            <w:r>
              <w:rPr>
                <w:rFonts w:ascii="Calibri" w:hAnsi="Calibri"/>
                <w:sz w:val="22"/>
              </w:rPr>
              <w:t>50,000 + 55,000 + 63,743</w:t>
            </w:r>
          </w:p>
        </w:tc>
        <w:tc>
          <w:tcPr>
            <w:tcW w:type="dxa" w:w="1080"/>
          </w:tcPr>
          <w:p>
            <w:r>
              <w:rPr>
                <w:rFonts w:ascii="Calibri" w:hAnsi="Calibri"/>
                <w:sz w:val="22"/>
              </w:rPr>
              <w:t>~$14.5M</w:t>
            </w:r>
          </w:p>
        </w:tc>
        <w:tc>
          <w:tcPr>
            <w:tcW w:type="dxa" w:w="1080"/>
          </w:tcPr>
          <w:p>
            <w:r>
              <w:rPr>
                <w:rFonts w:ascii="Calibri" w:hAnsi="Calibri"/>
                <w:sz w:val="22"/>
              </w:rPr>
              <w:t>Apr 29 – May 1, 2026</w:t>
            </w:r>
          </w:p>
        </w:tc>
        <w:tc>
          <w:tcPr>
            <w:tcW w:type="dxa" w:w="1080"/>
          </w:tcPr>
          <w:p>
            <w:r>
              <w:rPr>
                <w:rFonts w:ascii="Calibri" w:hAnsi="Calibri"/>
                <w:sz w:val="22"/>
              </w:rPr>
              <w:t>May 1, 2026</w:t>
            </w:r>
          </w:p>
        </w:tc>
        <w:tc>
          <w:tcPr>
            <w:tcW w:type="dxa" w:w="1080"/>
          </w:tcPr>
          <w:p>
            <w:r>
              <w:rPr>
                <w:rFonts w:ascii="Calibri" w:hAnsi="Calibri"/>
                <w:sz w:val="22"/>
              </w:rPr>
              <w:t>Sold via Trust (indirect). Ongoing estate/trust distribution; not flagged as 10b5-1.</w:t>
            </w:r>
          </w:p>
        </w:tc>
      </w:tr>
      <w:tr>
        <w:tc>
          <w:tcPr>
            <w:tcW w:type="dxa" w:w="1080"/>
          </w:tcPr>
          <w:p>
            <w:r>
              <w:rPr>
                <w:rFonts w:ascii="Calibri" w:hAnsi="Calibri"/>
                <w:sz w:val="22"/>
              </w:rPr>
              <w:t>Schwab, Charles R.</w:t>
            </w:r>
          </w:p>
        </w:tc>
        <w:tc>
          <w:tcPr>
            <w:tcW w:type="dxa" w:w="1080"/>
          </w:tcPr>
          <w:p>
            <w:r>
              <w:rPr>
                <w:rFonts w:ascii="Calibri" w:hAnsi="Calibri"/>
                <w:sz w:val="22"/>
              </w:rPr>
              <w:t>Co-Chairman, Director</w:t>
            </w:r>
          </w:p>
        </w:tc>
        <w:tc>
          <w:tcPr>
            <w:tcW w:type="dxa" w:w="1080"/>
          </w:tcPr>
          <w:p>
            <w:r>
              <w:rPr>
                <w:rFonts w:ascii="Calibri" w:hAnsi="Calibri"/>
                <w:sz w:val="22"/>
              </w:rPr>
              <w:t>Open Market Sale</w:t>
            </w:r>
          </w:p>
        </w:tc>
        <w:tc>
          <w:tcPr>
            <w:tcW w:type="dxa" w:w="1080"/>
          </w:tcPr>
          <w:p>
            <w:r>
              <w:rPr>
                <w:rFonts w:ascii="Calibri" w:hAnsi="Calibri"/>
                <w:sz w:val="22"/>
              </w:rPr>
              <w:t>36,450 + 36,450</w:t>
            </w:r>
          </w:p>
        </w:tc>
        <w:tc>
          <w:tcPr>
            <w:tcW w:type="dxa" w:w="1080"/>
          </w:tcPr>
          <w:p>
            <w:r>
              <w:rPr>
                <w:rFonts w:ascii="Calibri" w:hAnsi="Calibri"/>
                <w:sz w:val="22"/>
              </w:rPr>
              <w:t>~$6.6M</w:t>
            </w:r>
          </w:p>
        </w:tc>
        <w:tc>
          <w:tcPr>
            <w:tcW w:type="dxa" w:w="1080"/>
          </w:tcPr>
          <w:p>
            <w:r>
              <w:rPr>
                <w:rFonts w:ascii="Calibri" w:hAnsi="Calibri"/>
                <w:sz w:val="22"/>
              </w:rPr>
              <w:t>Apr 23–27, 2026</w:t>
            </w:r>
          </w:p>
        </w:tc>
        <w:tc>
          <w:tcPr>
            <w:tcW w:type="dxa" w:w="1080"/>
          </w:tcPr>
          <w:p>
            <w:r>
              <w:rPr>
                <w:rFonts w:ascii="Calibri" w:hAnsi="Calibri"/>
                <w:sz w:val="22"/>
              </w:rPr>
              <w:t>Apr 27, 2026</w:t>
            </w:r>
          </w:p>
        </w:tc>
        <w:tc>
          <w:tcPr>
            <w:tcW w:type="dxa" w:w="1080"/>
          </w:tcPr>
          <w:p>
            <w:r>
              <w:rPr>
                <w:rFonts w:ascii="Calibri" w:hAnsi="Calibri"/>
                <w:sz w:val="22"/>
              </w:rPr>
              <w:t>Sold via Trust (indirect). Ongoing estate/trust distribution.</w:t>
            </w:r>
          </w:p>
        </w:tc>
      </w:tr>
      <w:tr>
        <w:tc>
          <w:tcPr>
            <w:tcW w:type="dxa" w:w="1080"/>
          </w:tcPr>
          <w:p>
            <w:r>
              <w:rPr>
                <w:rFonts w:ascii="Calibri" w:hAnsi="Calibri"/>
                <w:sz w:val="22"/>
              </w:rPr>
              <w:t>Schwab-Pomerantz, Carolyn</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9,910</w:t>
            </w:r>
          </w:p>
        </w:tc>
        <w:tc>
          <w:tcPr>
            <w:tcW w:type="dxa" w:w="1080"/>
          </w:tcPr>
          <w:p>
            <w:r>
              <w:rPr>
                <w:rFonts w:ascii="Calibri" w:hAnsi="Calibri"/>
                <w:sz w:val="22"/>
              </w:rPr>
              <w:t>~$0.9M</w:t>
            </w:r>
          </w:p>
        </w:tc>
        <w:tc>
          <w:tcPr>
            <w:tcW w:type="dxa" w:w="1080"/>
          </w:tcPr>
          <w:p>
            <w:r>
              <w:rPr>
                <w:rFonts w:ascii="Calibri" w:hAnsi="Calibri"/>
                <w:sz w:val="22"/>
              </w:rPr>
              <w:t>May 5, 2026</w:t>
            </w:r>
          </w:p>
        </w:tc>
        <w:tc>
          <w:tcPr>
            <w:tcW w:type="dxa" w:w="1080"/>
          </w:tcPr>
          <w:p>
            <w:r>
              <w:rPr>
                <w:rFonts w:ascii="Calibri" w:hAnsi="Calibri"/>
                <w:sz w:val="22"/>
              </w:rPr>
              <w:t>May 6, 2026</w:t>
            </w:r>
          </w:p>
        </w:tc>
        <w:tc>
          <w:tcPr>
            <w:tcW w:type="dxa" w:w="1080"/>
          </w:tcPr>
          <w:p>
            <w:r>
              <w:rPr>
                <w:rFonts w:ascii="Calibri" w:hAnsi="Calibri"/>
                <w:sz w:val="22"/>
              </w:rPr>
              <w:t>Sold via Trust (indirect). Schwab family member; consistent with estate distribution pattern.</w:t>
            </w:r>
          </w:p>
        </w:tc>
      </w:tr>
      <w:tr>
        <w:tc>
          <w:tcPr>
            <w:tcW w:type="dxa" w:w="1080"/>
          </w:tcPr>
          <w:p>
            <w:r>
              <w:rPr>
                <w:rFonts w:ascii="Calibri" w:hAnsi="Calibri"/>
                <w:sz w:val="22"/>
              </w:rPr>
              <w:t>Sarin, Arun</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2,500</w:t>
            </w:r>
          </w:p>
        </w:tc>
        <w:tc>
          <w:tcPr>
            <w:tcW w:type="dxa" w:w="1080"/>
          </w:tcPr>
          <w:p>
            <w:r>
              <w:rPr>
                <w:rFonts w:ascii="Calibri" w:hAnsi="Calibri"/>
                <w:sz w:val="22"/>
              </w:rPr>
              <w:t>~$0.2M</w:t>
            </w:r>
          </w:p>
        </w:tc>
        <w:tc>
          <w:tcPr>
            <w:tcW w:type="dxa" w:w="1080"/>
          </w:tcPr>
          <w:p>
            <w:r>
              <w:rPr>
                <w:rFonts w:ascii="Calibri" w:hAnsi="Calibri"/>
                <w:sz w:val="22"/>
              </w:rPr>
              <w:t>May 13, 2026</w:t>
            </w:r>
          </w:p>
        </w:tc>
        <w:tc>
          <w:tcPr>
            <w:tcW w:type="dxa" w:w="1080"/>
          </w:tcPr>
          <w:p>
            <w:r>
              <w:rPr>
                <w:rFonts w:ascii="Calibri" w:hAnsi="Calibri"/>
                <w:sz w:val="22"/>
              </w:rPr>
              <w:t>May 14, 2026</w:t>
            </w:r>
          </w:p>
        </w:tc>
        <w:tc>
          <w:tcPr>
            <w:tcW w:type="dxa" w:w="1080"/>
          </w:tcPr>
          <w:p>
            <w:r>
              <w:rPr>
                <w:rFonts w:ascii="Calibri" w:hAnsi="Calibri"/>
                <w:sz w:val="22"/>
              </w:rPr>
              <w:t>Sold via Trust (indirect). Small discretionary sale by independent director.</w:t>
            </w:r>
          </w:p>
        </w:tc>
      </w:tr>
      <w:tr>
        <w:tc>
          <w:tcPr>
            <w:tcW w:type="dxa" w:w="1080"/>
          </w:tcPr>
          <w:p>
            <w:r>
              <w:rPr>
                <w:rFonts w:ascii="Calibri" w:hAnsi="Calibri"/>
                <w:sz w:val="22"/>
              </w:rPr>
              <w:t>Herringer, Frank C.</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2,520</w:t>
            </w:r>
          </w:p>
        </w:tc>
        <w:tc>
          <w:tcPr>
            <w:tcW w:type="dxa" w:w="1080"/>
          </w:tcPr>
          <w:p>
            <w:r>
              <w:rPr>
                <w:rFonts w:ascii="Calibri" w:hAnsi="Calibri"/>
                <w:sz w:val="22"/>
              </w:rPr>
              <w:t>~$0.2M</w:t>
            </w:r>
          </w:p>
        </w:tc>
        <w:tc>
          <w:tcPr>
            <w:tcW w:type="dxa" w:w="1080"/>
          </w:tcPr>
          <w:p>
            <w:r>
              <w:rPr>
                <w:rFonts w:ascii="Calibri" w:hAnsi="Calibri"/>
                <w:sz w:val="22"/>
              </w:rPr>
              <w:t>Apr 28, 2026</w:t>
            </w:r>
          </w:p>
        </w:tc>
        <w:tc>
          <w:tcPr>
            <w:tcW w:type="dxa" w:w="1080"/>
          </w:tcPr>
          <w:p>
            <w:r>
              <w:rPr>
                <w:rFonts w:ascii="Calibri" w:hAnsi="Calibri"/>
                <w:sz w:val="22"/>
              </w:rPr>
              <w:t>Apr 29, 2026</w:t>
            </w:r>
          </w:p>
        </w:tc>
        <w:tc>
          <w:tcPr>
            <w:tcW w:type="dxa" w:w="1080"/>
          </w:tcPr>
          <w:p>
            <w:r>
              <w:rPr>
                <w:rFonts w:ascii="Calibri" w:hAnsi="Calibri"/>
                <w:sz w:val="22"/>
              </w:rPr>
              <w:t>Sold via Trust (indirect). Small discretionary sale by independent director.</w:t>
            </w:r>
          </w:p>
        </w:tc>
      </w:tr>
      <w:tr>
        <w:tc>
          <w:tcPr>
            <w:tcW w:type="dxa" w:w="1080"/>
          </w:tcPr>
          <w:p>
            <w:r>
              <w:rPr>
                <w:rFonts w:ascii="Calibri" w:hAnsi="Calibri"/>
                <w:sz w:val="22"/>
              </w:rPr>
              <w:t>Craig, Jonathan M.</w:t>
            </w:r>
          </w:p>
        </w:tc>
        <w:tc>
          <w:tcPr>
            <w:tcW w:type="dxa" w:w="1080"/>
          </w:tcPr>
          <w:p>
            <w:r>
              <w:rPr>
                <w:rFonts w:ascii="Calibri" w:hAnsi="Calibri"/>
                <w:sz w:val="22"/>
              </w:rPr>
              <w:t>MD, Head of Retail Investing</w:t>
            </w:r>
          </w:p>
        </w:tc>
        <w:tc>
          <w:tcPr>
            <w:tcW w:type="dxa" w:w="1080"/>
          </w:tcPr>
          <w:p>
            <w:r>
              <w:rPr>
                <w:rFonts w:ascii="Calibri" w:hAnsi="Calibri"/>
                <w:sz w:val="22"/>
              </w:rPr>
              <w:t>10b5-1 Planned Sale</w:t>
            </w:r>
          </w:p>
        </w:tc>
        <w:tc>
          <w:tcPr>
            <w:tcW w:type="dxa" w:w="1080"/>
          </w:tcPr>
          <w:p>
            <w:r>
              <w:rPr>
                <w:rFonts w:ascii="Calibri" w:hAnsi="Calibri"/>
                <w:sz w:val="22"/>
              </w:rPr>
              <w:t>21,750</w:t>
            </w:r>
          </w:p>
        </w:tc>
        <w:tc>
          <w:tcPr>
            <w:tcW w:type="dxa" w:w="1080"/>
          </w:tcPr>
          <w:p>
            <w:r>
              <w:rPr>
                <w:rFonts w:ascii="Calibri" w:hAnsi="Calibri"/>
                <w:sz w:val="22"/>
              </w:rPr>
              <w:t>~$2.2M</w:t>
            </w:r>
          </w:p>
        </w:tc>
        <w:tc>
          <w:tcPr>
            <w:tcW w:type="dxa" w:w="1080"/>
          </w:tcPr>
          <w:p>
            <w:r>
              <w:rPr>
                <w:rFonts w:ascii="Calibri" w:hAnsi="Calibri"/>
                <w:sz w:val="22"/>
              </w:rPr>
              <w:t>Jul 7, 2026</w:t>
            </w:r>
          </w:p>
        </w:tc>
        <w:tc>
          <w:tcPr>
            <w:tcW w:type="dxa" w:w="1080"/>
          </w:tcPr>
          <w:p>
            <w:r>
              <w:rPr>
                <w:rFonts w:ascii="Calibri" w:hAnsi="Calibri"/>
                <w:sz w:val="22"/>
              </w:rPr>
              <w:t>Jul 9, 2026</w:t>
            </w:r>
          </w:p>
        </w:tc>
        <w:tc>
          <w:tcPr>
            <w:tcW w:type="dxa" w:w="1080"/>
          </w:tcPr>
          <w:p>
            <w:r>
              <w:rPr>
                <w:rFonts w:ascii="Calibri" w:hAnsi="Calibri"/>
                <w:sz w:val="22"/>
              </w:rPr>
              <w:t>Pre-planned 10b5-1 sale via Trust. Routine; not discretionary.</w:t>
            </w:r>
          </w:p>
        </w:tc>
      </w:tr>
      <w:tr>
        <w:tc>
          <w:tcPr>
            <w:tcW w:type="dxa" w:w="1080"/>
          </w:tcPr>
          <w:p>
            <w:r>
              <w:rPr>
                <w:rFonts w:ascii="Calibri" w:hAnsi="Calibri"/>
                <w:sz w:val="22"/>
              </w:rPr>
              <w:t>Beatty, Jonathan S.</w:t>
            </w:r>
          </w:p>
        </w:tc>
        <w:tc>
          <w:tcPr>
            <w:tcW w:type="dxa" w:w="1080"/>
          </w:tcPr>
          <w:p>
            <w:r>
              <w:rPr>
                <w:rFonts w:ascii="Calibri" w:hAnsi="Calibri"/>
                <w:sz w:val="22"/>
              </w:rPr>
              <w:t>MD, Head of Advisor Services</w:t>
            </w:r>
          </w:p>
        </w:tc>
        <w:tc>
          <w:tcPr>
            <w:tcW w:type="dxa" w:w="1080"/>
          </w:tcPr>
          <w:p>
            <w:r>
              <w:rPr>
                <w:rFonts w:ascii="Calibri" w:hAnsi="Calibri"/>
                <w:sz w:val="22"/>
              </w:rPr>
              <w:t>10b5-1 Planned Sale</w:t>
            </w:r>
          </w:p>
        </w:tc>
        <w:tc>
          <w:tcPr>
            <w:tcW w:type="dxa" w:w="1080"/>
          </w:tcPr>
          <w:p>
            <w:r>
              <w:rPr>
                <w:rFonts w:ascii="Calibri" w:hAnsi="Calibri"/>
                <w:sz w:val="22"/>
              </w:rPr>
              <w:t>2,000 + 2,000 + 2,000</w:t>
            </w:r>
          </w:p>
        </w:tc>
        <w:tc>
          <w:tcPr>
            <w:tcW w:type="dxa" w:w="1080"/>
          </w:tcPr>
          <w:p>
            <w:r>
              <w:rPr>
                <w:rFonts w:ascii="Calibri" w:hAnsi="Calibri"/>
                <w:sz w:val="22"/>
              </w:rPr>
              <w:t>~$0.6M</w:t>
            </w:r>
          </w:p>
        </w:tc>
        <w:tc>
          <w:tcPr>
            <w:tcW w:type="dxa" w:w="1080"/>
          </w:tcPr>
          <w:p>
            <w:r>
              <w:rPr>
                <w:rFonts w:ascii="Calibri" w:hAnsi="Calibri"/>
                <w:sz w:val="22"/>
              </w:rPr>
              <w:t>Jul 2–7, 2026</w:t>
            </w:r>
          </w:p>
        </w:tc>
        <w:tc>
          <w:tcPr>
            <w:tcW w:type="dxa" w:w="1080"/>
          </w:tcPr>
          <w:p>
            <w:r>
              <w:rPr>
                <w:rFonts w:ascii="Calibri" w:hAnsi="Calibri"/>
                <w:sz w:val="22"/>
              </w:rPr>
              <w:t>Jul 6–8, 2026</w:t>
            </w:r>
          </w:p>
        </w:tc>
        <w:tc>
          <w:tcPr>
            <w:tcW w:type="dxa" w:w="1080"/>
          </w:tcPr>
          <w:p>
            <w:r>
              <w:rPr>
                <w:rFonts w:ascii="Calibri" w:hAnsi="Calibri"/>
                <w:sz w:val="22"/>
              </w:rPr>
              <w:t>Pre-planned 10b5-1 sales via Trust. Routine; not discretionary.</w:t>
            </w:r>
          </w:p>
        </w:tc>
      </w:tr>
      <w:tr>
        <w:tc>
          <w:tcPr>
            <w:tcW w:type="dxa" w:w="1080"/>
          </w:tcPr>
          <w:p>
            <w:r>
              <w:rPr>
                <w:rFonts w:ascii="Calibri" w:hAnsi="Calibri"/>
                <w:sz w:val="22"/>
              </w:rPr>
              <w:t>Woolway, Paul V.</w:t>
            </w:r>
          </w:p>
        </w:tc>
        <w:tc>
          <w:tcPr>
            <w:tcW w:type="dxa" w:w="1080"/>
          </w:tcPr>
          <w:p>
            <w:r>
              <w:rPr>
                <w:rFonts w:ascii="Calibri" w:hAnsi="Calibri"/>
                <w:sz w:val="22"/>
              </w:rPr>
              <w:t>MD, Chief Banking Officer</w:t>
            </w:r>
          </w:p>
        </w:tc>
        <w:tc>
          <w:tcPr>
            <w:tcW w:type="dxa" w:w="1080"/>
          </w:tcPr>
          <w:p>
            <w:r>
              <w:rPr>
                <w:rFonts w:ascii="Calibri" w:hAnsi="Calibri"/>
                <w:sz w:val="22"/>
              </w:rPr>
              <w:t>10b5-1 Planned Sale</w:t>
            </w:r>
          </w:p>
        </w:tc>
        <w:tc>
          <w:tcPr>
            <w:tcW w:type="dxa" w:w="1080"/>
          </w:tcPr>
          <w:p>
            <w:r>
              <w:rPr>
                <w:rFonts w:ascii="Calibri" w:hAnsi="Calibri"/>
                <w:sz w:val="22"/>
              </w:rPr>
              <w:t>7,941 + 7,942</w:t>
            </w:r>
          </w:p>
        </w:tc>
        <w:tc>
          <w:tcPr>
            <w:tcW w:type="dxa" w:w="1080"/>
          </w:tcPr>
          <w:p>
            <w:r>
              <w:rPr>
                <w:rFonts w:ascii="Calibri" w:hAnsi="Calibri"/>
                <w:sz w:val="22"/>
              </w:rPr>
              <w:t>~$1.5M</w:t>
            </w:r>
          </w:p>
        </w:tc>
        <w:tc>
          <w:tcPr>
            <w:tcW w:type="dxa" w:w="1080"/>
          </w:tcPr>
          <w:p>
            <w:r>
              <w:rPr>
                <w:rFonts w:ascii="Calibri" w:hAnsi="Calibri"/>
                <w:sz w:val="22"/>
              </w:rPr>
              <w:t>Apr 14–15, 2026</w:t>
            </w:r>
          </w:p>
        </w:tc>
        <w:tc>
          <w:tcPr>
            <w:tcW w:type="dxa" w:w="1080"/>
          </w:tcPr>
          <w:p>
            <w:r>
              <w:rPr>
                <w:rFonts w:ascii="Calibri" w:hAnsi="Calibri"/>
                <w:sz w:val="22"/>
              </w:rPr>
              <w:t>Apr 16, 2026</w:t>
            </w:r>
          </w:p>
        </w:tc>
        <w:tc>
          <w:tcPr>
            <w:tcW w:type="dxa" w:w="1080"/>
          </w:tcPr>
          <w:p>
            <w:r>
              <w:rPr>
                <w:rFonts w:ascii="Calibri" w:hAnsi="Calibri"/>
                <w:sz w:val="22"/>
              </w:rPr>
              <w:t>Pre-planned 10b5-1 sales via Trust. Routine; not discretionary.</w:t>
            </w:r>
          </w:p>
        </w:tc>
      </w:tr>
    </w:tbl>
    <w:p>
      <w:r>
        <w:rPr>
          <w:rFonts w:ascii="Calibri" w:hAnsi="Calibri"/>
          <w:i/>
          <w:color w:val="525866"/>
          <w:sz w:val="22"/>
        </w:rPr>
        <w:t>Source: SEC Form 4 Filings Database (Insider Transaction Data).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