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lb-earnings-predictions--2026-07-24"/>
    <w:p>
      <w:pPr>
        <w:pStyle w:val="Heading1"/>
      </w:pPr>
      <w:r>
        <w:t xml:space="preserve">SLB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(ex-items), Q2'26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0.42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Revenue, Q2'26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8.45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margin, Q2'26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~19.3% vs. cons ~20.2%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sequential recovery / implied EPS (Middle East cadence)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0.46</m:t>
              </m:r>
              <m:r>
                <m:rPr>
                  <m:sty m:val="p"/>
                </m:rPr>
                <m:t>−</m:t>
              </m:r>
              <m:r>
                <m:t>0.48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0.54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returns to shareholders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&gt;$4.0B (incl. min</w:t>
            </w:r>
            <w:r>
              <w:t xml:space="preserve"> </w:t>
            </w:r>
            <m:oMath>
              <m:r>
                <m:t>2.4</m:t>
              </m:r>
              <m:r>
                <m:t>B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Solutions exit run-rate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</m:t>
              </m:r>
              <m:r>
                <m:t>B</m:t>
              </m:r>
              <m:r>
                <m:t>e</m:t>
              </m:r>
              <m:r>
                <m:t>x</m:t>
              </m:r>
              <m:r>
                <m:t>i</m:t>
              </m:r>
              <m:r>
                <m:t>t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1.0B (exit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Digital full-year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&gt;=35% vs. cons ~35%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investment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Q2 tracked below the April 'mid-quarter easing' framework because the Middle East conflict re-escalated late in the quarter (crude &gt;</w:t>
            </w:r>
            <m:oMath>
              <m:r>
                <m:t>100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c</m:t>
              </m:r>
              <m:r>
                <m:t>r</m:t>
              </m:r>
              <m:r>
                <m:t>u</m:t>
              </m:r>
              <m:r>
                <m:t>s</m:t>
              </m:r>
              <m:r>
                <m:t>h</m:t>
              </m:r>
              <m:r>
                <m:t>e</m:t>
              </m:r>
              <m:r>
                <m:t>d</m:t>
              </m:r>
              <m:r>
                <m:t>f</m:t>
              </m:r>
              <m:r>
                <m:t>r</m:t>
              </m:r>
              <m:r>
                <m:t>o</m:t>
              </m:r>
              <m:r>
                <m:t>m</m:t>
              </m:r>
              <m:r>
                <m:t> </m:t>
              </m:r>
            </m:oMath>
            <w:r>
              <w:t xml:space="preserve">58 to ~$47). A likely miss on EPS/revenue/margin plus a cautious, pushed-out Q3 recovery cadence forces analysts to cut out-period (Q3/H2) estimates even as management reaffirms capital returns and data-center/digital growth. Implicit downward revisions outweigh the bullish higher-oil sector narrative in the first week, so the initial drop grinds lower rather than reversing.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2026-07-24T00:13:30Z</dcterms:created>
  <dcterms:modified xsi:type="dcterms:W3CDTF">2026-07-24T00:13:30Z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