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SLB before writing the preview. Let me start by gathering recent transcripts, filings, news, and price data.I'll read the most recent earnings materials and get more context in parallel.Let me get the year-ago quarter (Q2 2025) release and recent stock price/news for context.Let me get recent SLB-specific news and any analyst estimate context.# SLB (NYSE: SLB) — Q2 2026 Earnings Preview</w:t>
      </w:r>
    </w:p>
    <w:bookmarkStart w:id="9" w:name="Xde0d560f2e7dde5dd954324e1a78bfb3dc993dd"/>
    <w:p>
      <w:pPr>
        <w:pStyle w:val="Heading3"/>
      </w:pPr>
      <w:r>
        <w:t xml:space="preserve">Report date: Friday, July 24, 2026 (before market open) | 2026Q2 Earnings Call</w:t>
      </w:r>
    </w:p>
    <w:p>
      <w:r>
        <w:pict>
          <v:rect style="width:0;height:1.5pt" o:hralign="center" o:hrstd="t" o:hr="t"/>
        </w:pict>
      </w:r>
    </w:p>
    <w:bookmarkEnd w:id="9"/>
    <w:bookmarkStart w:id="10" w:name="X15927f63a2d63ed32c726339c85b90844d5afd2"/>
    <w:p>
      <w:pPr>
        <w:pStyle w:val="Heading2"/>
      </w:pPr>
      <w:r>
        <w:t xml:space="preserve">The one thing that matters: how bad was the Middle East?</w:t>
      </w:r>
    </w:p>
    <w:p>
      <w:pPr>
        <w:pStyle w:val="FirstParagraph"/>
      </w:pPr>
      <w:r>
        <w:t xml:space="preserve">SLB's Q2 is unusually binary, and it hinges almost entirely on the Middle East conflict that began disrupting operations in March. This is not a normal "beat/miss vs. consensus" quarter — it's a "how did the disruption scenario actually play out" quarter.</w:t>
      </w:r>
    </w:p>
    <w:p>
      <w:pPr>
        <w:pStyle w:val="BodyText"/>
      </w:pPr>
      <w:r>
        <w:t xml:space="preserve">Recall the setup from the Q1 call (April 24). Management explicitly declined to give precise guidance and instead offered a</w:t>
      </w:r>
      <w:r>
        <w:t xml:space="preserve"> </w:t>
      </w:r>
      <w:r>
        <w:rPr>
          <w:b/>
          <w:bCs/>
        </w:rPr>
        <w:t xml:space="preserve">single scenario</w:t>
      </w:r>
      <w:r>
        <w:t xml:space="preserve">: if operational disruption persisted through the</w:t>
      </w:r>
      <w:r>
        <w:t xml:space="preserve"> </w:t>
      </w:r>
      <w:r>
        <w:rPr>
          <w:i/>
          <w:iCs/>
        </w:rPr>
        <w:t xml:space="preserve">middle</w:t>
      </w:r>
      <w:r>
        <w:t xml:space="preserve"> </w:t>
      </w:r>
      <w:r>
        <w:t xml:space="preserve">of Q2 and then began to gradually ease, the incremental hit would be</w:t>
      </w:r>
      <w:r>
        <w:t xml:space="preserve"> </w:t>
      </w:r>
      <m:oMath>
        <m:r>
          <m:t>0.06</m:t>
        </m:r>
        <m:r>
          <m:rPr>
            <m:sty m:val="p"/>
          </m:rPr>
          <m:t>–</m:t>
        </m:r>
      </m:oMath>
      <w:r>
        <w:rPr>
          <w:b/>
          <w:bCs/>
        </w:rPr>
        <w:t xml:space="preserve">0.08 of EPS sequentially</w:t>
      </w:r>
      <w:r>
        <w:t xml:space="preserve"> </w:t>
      </w:r>
      <w:r>
        <w:t xml:space="preserve">versus Q1's</w:t>
      </w:r>
      <w:r>
        <w:t xml:space="preserve"> </w:t>
      </w:r>
      <m:oMath>
        <m:r>
          <m:t>0.52</m:t>
        </m:r>
        <m:r>
          <m:rPr>
            <m:sty m:val="p"/>
          </m:rPr>
          <m:t>(</m:t>
        </m:r>
        <m:r>
          <m:t>e</m:t>
        </m:r>
        <m:r>
          <m:t>x</m:t>
        </m:r>
        <m:r>
          <m:rPr>
            <m:sty m:val="p"/>
          </m:rPr>
          <m:t>−</m:t>
        </m:r>
        <m:r>
          <m:t>i</m:t>
        </m:r>
        <m:r>
          <m:t>t</m:t>
        </m:r>
        <m:r>
          <m:t>e</m:t>
        </m:r>
        <m:r>
          <m:t>m</m:t>
        </m:r>
        <m:r>
          <m:t>s</m:t>
        </m:r>
        <m:r>
          <m:rPr>
            <m:sty m:val="p"/>
          </m:rPr>
          <m:t>)</m:t>
        </m:r>
        <m:r>
          <m:rPr>
            <m:sty m:val="p"/>
          </m:rPr>
          <m:t>,</m:t>
        </m:r>
        <m:r>
          <m:t>i</m:t>
        </m:r>
        <m:r>
          <m:rPr>
            <m:sty m:val="p"/>
          </m:rPr>
          <m:t>.</m:t>
        </m:r>
        <m:r>
          <m:t>e</m:t>
        </m:r>
        <m:r>
          <m:rPr>
            <m:sty m:val="p"/>
          </m:rPr>
          <m:t>.</m:t>
        </m:r>
        <m:r>
          <m:rPr>
            <m:sty m:val="p"/>
          </m:rPr>
          <m:t>,</m:t>
        </m:r>
        <m:r>
          <m:t>i</m:t>
        </m:r>
        <m:r>
          <m:t>m</m:t>
        </m:r>
        <m:r>
          <m:t>p</m:t>
        </m:r>
        <m:r>
          <m:t>l</m:t>
        </m:r>
        <m:r>
          <m:t>i</m:t>
        </m:r>
        <m:r>
          <m:t>e</m:t>
        </m:r>
        <m:r>
          <m:t>d</m:t>
        </m:r>
        <m:r>
          <m:t>Q</m:t>
        </m:r>
        <m:r>
          <m:t>2</m:t>
        </m:r>
        <m:r>
          <m:t>E</m:t>
        </m:r>
        <m:r>
          <m:t>P</m:t>
        </m:r>
        <m:r>
          <m:t>S</m:t>
        </m:r>
        <m:r>
          <m:t>i</m:t>
        </m:r>
        <m:r>
          <m:t>n</m:t>
        </m:r>
        <m:r>
          <m:t>t</m:t>
        </m:r>
        <m:r>
          <m:t>h</m:t>
        </m:r>
        <m:r>
          <m:t>e</m:t>
        </m:r>
        <m:r>
          <m:rPr>
            <m:sty m:val="p"/>
          </m:rPr>
          <m:t>*</m:t>
        </m:r>
        <m:r>
          <m:rPr>
            <m:sty m:val="p"/>
          </m:rPr>
          <m:t>*</m:t>
        </m:r>
        <m:r>
          <m:t> </m:t>
        </m:r>
      </m:oMath>
      <w:r>
        <w:t xml:space="preserve">0.44–$0.46** range. Within that scenario, the Middle East sequential decline would be</w:t>
      </w:r>
      <w:r>
        <w:t xml:space="preserve"> </w:t>
      </w:r>
      <w:r>
        <w:rPr>
          <w:i/>
          <w:iCs/>
        </w:rPr>
        <w:t xml:space="preserve">fully offset</w:t>
      </w:r>
      <w:r>
        <w:t xml:space="preserve"> </w:t>
      </w:r>
      <w:r>
        <w:t xml:space="preserve">by all other international markets (mid-to-high single-digit growth) plus flat North America.</w:t>
      </w:r>
    </w:p>
    <w:p>
      <w:pPr>
        <w:pStyle w:val="BodyText"/>
      </w:pPr>
      <w:r>
        <w:rPr>
          <w:b/>
          <w:bCs/>
        </w:rPr>
        <w:t xml:space="preserve">The problem: the macro backdrop appears to have gotten worse, not better.</w:t>
      </w:r>
      <w:r>
        <w:t xml:space="preserve"> </w:t>
      </w:r>
      <w:r>
        <w:t xml:space="preserve">As of July 23, crude had surged back above $100/bbl as the war in Iran escalated, with the U.S. SPR drawn down to ~40-year lows to buffer the shock. If disruption</w:t>
      </w:r>
      <w:r>
        <w:t xml:space="preserve"> </w:t>
      </w:r>
      <w:r>
        <w:rPr>
          <w:i/>
          <w:iCs/>
        </w:rPr>
        <w:t xml:space="preserve">deepened</w:t>
      </w:r>
      <w:r>
        <w:t xml:space="preserve"> </w:t>
      </w:r>
      <w:r>
        <w:t xml:space="preserve">through Q2 rather than easing mid-quarter, actual results could fall short of the</w:t>
      </w:r>
      <w:r>
        <w:t xml:space="preserve"> </w:t>
      </w:r>
      <m:oMath>
        <m:r>
          <m:t>0.44</m:t>
        </m:r>
        <m:r>
          <m:rPr>
            <m:sty m:val="p"/>
          </m:rPr>
          <m:t>–</m:t>
        </m:r>
      </m:oMath>
      <w:r>
        <w:t xml:space="preserve">0.46 framework — and, just as importantly, the Q3 outlook management gives on the call becomes the key swing factor for the stock.</w:t>
      </w:r>
    </w:p>
    <w:p>
      <w:pPr>
        <w:pStyle w:val="BodyText"/>
      </w:pPr>
      <w:r>
        <w:rPr>
          <w:b/>
          <w:bCs/>
        </w:rPr>
        <w:t xml:space="preserve">What to watch:</w:t>
      </w:r>
    </w:p>
    <w:p>
      <w:pPr>
        <w:pStyle w:val="Compact"/>
        <w:numPr>
          <w:ilvl w:val="0"/>
          <w:numId w:val="1001"/>
        </w:numPr>
      </w:pPr>
      <w:r>
        <w:t xml:space="preserve">Did Q2 track the "mid-quarter easing" scenario, or did escalation push results below it?</w:t>
      </w:r>
    </w:p>
    <w:p>
      <w:pPr>
        <w:pStyle w:val="Compact"/>
        <w:numPr>
          <w:ilvl w:val="0"/>
          <w:numId w:val="1001"/>
        </w:numPr>
      </w:pPr>
      <w:r>
        <w:t xml:space="preserve">The</w:t>
      </w:r>
      <w:r>
        <w:t xml:space="preserve"> </w:t>
      </w:r>
      <w:r>
        <w:rPr>
          <w:b/>
          <w:bCs/>
        </w:rPr>
        <w:t xml:space="preserve">incremental cost drag</w:t>
      </w:r>
      <w:r>
        <w:t xml:space="preserve"> </w:t>
      </w:r>
      <w:r>
        <w:t xml:space="preserve">— management flagged higher logistics/transportation and petroleum-derived raw material/chemical costs that would "linger," partly recoverable via contract inflation pass-throughs. Watch decrementals.</w:t>
      </w:r>
    </w:p>
    <w:p>
      <w:pPr>
        <w:pStyle w:val="Compact"/>
        <w:numPr>
          <w:ilvl w:val="0"/>
          <w:numId w:val="1001"/>
        </w:numPr>
      </w:pPr>
      <w:r>
        <w:t xml:space="preserve">Middle East is ~70% of the "Middle East &amp; Asia" segment, so the mix shift matters enormously.</w:t>
      </w:r>
    </w:p>
    <w:p>
      <w:pPr>
        <w:pStyle w:val="Compact"/>
        <w:numPr>
          <w:ilvl w:val="0"/>
          <w:numId w:val="1001"/>
        </w:numPr>
      </w:pPr>
      <w:r>
        <w:t xml:space="preserve">Any color on</w:t>
      </w:r>
      <w:r>
        <w:t xml:space="preserve"> </w:t>
      </w:r>
      <w:r>
        <w:rPr>
          <w:b/>
          <w:bCs/>
        </w:rPr>
        <w:t xml:space="preserve">collections</w:t>
      </w:r>
      <w:r>
        <w:t xml:space="preserve"> </w:t>
      </w:r>
      <w:r>
        <w:t xml:space="preserve">— Q1 free cash flow was dinged by delayed Middle East collections.</w:t>
      </w:r>
    </w:p>
    <w:p>
      <w:r>
        <w:pict>
          <v:rect style="width:0;height:1.5pt" o:hralign="center" o:hrstd="t" o:hr="t"/>
        </w:pict>
      </w:r>
    </w:p>
    <w:bookmarkEnd w:id="10"/>
    <w:bookmarkStart w:id="11" w:name="where-the-quarter-stands-vs-history"/>
    <w:p>
      <w:pPr>
        <w:pStyle w:val="Heading2"/>
      </w:pPr>
      <w:r>
        <w:t xml:space="preserve">Where the quarter stands vs. history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 (ex-items)</w:t>
            </w:r>
          </w:p>
        </w:tc>
        <w:tc>
          <w:tcPr/>
          <w:p>
            <w:pPr>
              <w:pStyle w:val="Compact"/>
            </w:pPr>
            <w:r>
              <w:t xml:space="preserve">Q2 2025 (yr-ago)</w:t>
            </w:r>
          </w:p>
        </w:tc>
        <w:tc>
          <w:tcPr/>
          <w:p>
            <w:pPr>
              <w:pStyle w:val="Compact"/>
            </w:pPr>
            <w:r>
              <w:t xml:space="preserve">Q1 2026 (last qtr)</w:t>
            </w:r>
          </w:p>
        </w:tc>
        <w:tc>
          <w:tcPr/>
          <w:p>
            <w:pPr>
              <w:pStyle w:val="Compact"/>
            </w:pPr>
            <w:r>
              <w:t xml:space="preserve">Q2 2026 (implied guide)</w:t>
            </w:r>
          </w:p>
        </w:tc>
      </w:tr>
      <w:tr>
        <w:tc>
          <w:tcPr/>
          <w:p>
            <w:pPr>
              <w:pStyle w:val="Compact"/>
            </w:pPr>
            <w:r>
              <w:t xml:space="preserve">Revenue</w:t>
            </w:r>
          </w:p>
        </w:tc>
        <w:tc>
          <w:tcPr/>
          <w:p>
            <w:pPr>
              <w:pStyle w:val="Compact"/>
            </w:pPr>
            <w:r>
              <w:t xml:space="preserve">$8.55B</w:t>
            </w:r>
          </w:p>
        </w:tc>
        <w:tc>
          <w:tcPr/>
          <w:p>
            <w:pPr>
              <w:pStyle w:val="Compact"/>
            </w:pPr>
            <w:r>
              <w:t xml:space="preserve">~$8.7B</w:t>
            </w:r>
          </w:p>
        </w:tc>
        <w:tc>
          <w:tcPr/>
          <w:p>
            <w:pPr>
              <w:pStyle w:val="Compact"/>
            </w:pPr>
            <w:r>
              <w:t xml:space="preserve">Roughly flat seq. (best case)</w:t>
            </w:r>
          </w:p>
        </w:tc>
      </w:tr>
      <w:tr>
        <w:tc>
          <w:tcPr/>
          <w:p>
            <w:pPr>
              <w:pStyle w:val="Compact"/>
            </w:pPr>
            <w:r>
              <w:t xml:space="preserve">EPS</w:t>
            </w:r>
          </w:p>
        </w:tc>
        <w:tc>
          <w:tcPr/>
          <w:p>
            <w:pPr>
              <w:pStyle w:val="Compact"/>
            </w:pPr>
            <w:r>
              <w:t xml:space="preserve">$0.74</w:t>
            </w:r>
          </w:p>
        </w:tc>
        <w:tc>
          <w:tcPr/>
          <w:p>
            <w:pPr>
              <w:pStyle w:val="Compact"/>
            </w:pPr>
            <w:r>
              <w:t xml:space="preserve">$0.52</w:t>
            </w:r>
          </w:p>
        </w:tc>
        <w:tc>
          <w:tcPr/>
          <w:p>
            <w:pPr>
              <w:pStyle w:val="Compact"/>
            </w:pPr>
            <w:r>
              <w:t xml:space="preserve">~</w:t>
            </w:r>
            <m:oMath>
              <m:r>
                <m:t>0.44</m:t>
              </m:r>
              <m:r>
                <m:rPr>
                  <m:sty m:val="p"/>
                </m:rPr>
                <m:t>–</m:t>
              </m:r>
            </m:oMath>
            <w:r>
              <w:t xml:space="preserve">0.46 (scenario)</w:t>
            </w:r>
          </w:p>
        </w:tc>
      </w:tr>
      <w:tr>
        <w:tc>
          <w:tcPr/>
          <w:p>
            <w:pPr>
              <w:pStyle w:val="Compact"/>
            </w:pPr>
            <w:r>
              <w:t xml:space="preserve">Adj. EBITDA margin</w:t>
            </w:r>
          </w:p>
        </w:tc>
        <w:tc>
          <w:tcPr/>
          <w:p>
            <w:pPr>
              <w:pStyle w:val="Compact"/>
            </w:pPr>
            <w:r>
              <w:t xml:space="preserve">24.0%</w:t>
            </w:r>
          </w:p>
        </w:tc>
        <w:tc>
          <w:tcPr/>
          <w:p>
            <w:pPr>
              <w:pStyle w:val="Compact"/>
            </w:pPr>
            <w:r>
              <w:t xml:space="preserve">20.3%</w:t>
            </w:r>
          </w:p>
        </w:tc>
        <w:tc>
          <w:tcPr/>
          <w:p>
            <w:pPr>
              <w:pStyle w:val="Compact"/>
            </w:pPr>
            <w:r>
              <w:t xml:space="preserve">Pressured</w:t>
            </w:r>
          </w:p>
        </w:tc>
      </w:tr>
    </w:tbl>
    <w:p>
      <w:pPr>
        <w:pStyle w:val="BodyText"/>
      </w:pPr>
      <w:r>
        <w:t xml:space="preserve">The year-over-year optics will look ugly — Q2 2025 delivered</w:t>
      </w:r>
      <w:r>
        <w:t xml:space="preserve"> </w:t>
      </w:r>
      <m:oMath>
        <m:r>
          <m:t>0.74</m:t>
        </m:r>
        <m:r>
          <m:t>E</m:t>
        </m:r>
        <m:r>
          <m:t>P</m:t>
        </m:r>
        <m:r>
          <m:t>S</m:t>
        </m:r>
        <m:r>
          <m:t>a</m:t>
        </m:r>
        <m:r>
          <m:t>n</m:t>
        </m:r>
        <m:r>
          <m:t>d</m:t>
        </m:r>
        <m:r>
          <m:t>24</m:t>
        </m:r>
      </m:oMath>
      <w:r>
        <w:t xml:space="preserve">0.45 print would be down ~40% YoY. This is largely understood; the market's focus is the forward recovery, not the trailing comp.</w:t>
      </w:r>
    </w:p>
    <w:p>
      <w:pPr>
        <w:pStyle w:val="BodyText"/>
      </w:pPr>
      <w:r>
        <w:rPr>
          <w:b/>
          <w:bCs/>
        </w:rPr>
        <w:t xml:space="preserve">Segment expectations (per Q1 guidance):</w:t>
      </w:r>
      <w:r>
        <w:t xml:space="preserve"> </w:t>
      </w:r>
      <w:r>
        <w:t xml:space="preserve">Digital and Production Systems grow;</w:t>
      </w:r>
      <w:r>
        <w:t xml:space="preserve"> </w:t>
      </w:r>
      <w:r>
        <w:rPr>
          <w:b/>
          <w:bCs/>
        </w:rPr>
        <w:t xml:space="preserve">Reservoir Performance and Well Construction decline</w:t>
      </w:r>
      <w:r>
        <w:t xml:space="preserve"> </w:t>
      </w:r>
      <w:r>
        <w:t xml:space="preserve">globally, both being the most exposed to Middle East activity curtailments. Watch OneSubsea margins within Production Systems — they slumped to 14.4% pretax in Q1 (vs. 18.1% a year earlier) on concurrent project wind-downs and new-project start-up costs, with management promising normalization over the year.</w:t>
      </w:r>
    </w:p>
    <w:p>
      <w:r>
        <w:pict>
          <v:rect style="width:0;height:1.5pt" o:hralign="center" o:hrstd="t" o:hr="t"/>
        </w:pict>
      </w:r>
    </w:p>
    <w:bookmarkEnd w:id="11"/>
    <w:bookmarkStart w:id="12" w:name="X99c076ee8a04967ad4531b67817690b2351f4b7"/>
    <w:p>
      <w:pPr>
        <w:pStyle w:val="Heading2"/>
      </w:pPr>
      <w:r>
        <w:t xml:space="preserve">The bull case runs</w:t>
      </w:r>
      <w:r>
        <w:t xml:space="preserve"> </w:t>
      </w:r>
      <w:r>
        <w:rPr>
          <w:i/>
          <w:iCs/>
        </w:rPr>
        <w:t xml:space="preserve">through</w:t>
      </w:r>
      <w:r>
        <w:t xml:space="preserve"> </w:t>
      </w:r>
      <w:r>
        <w:t xml:space="preserve">the disruption</w:t>
      </w:r>
    </w:p>
    <w:p>
      <w:pPr>
        <w:pStyle w:val="FirstParagraph"/>
      </w:pPr>
      <w:r>
        <w:t xml:space="preserve">Management's core message in April was that near-term pain sets up a stronger medium-term cycle. Key pillars to listen for updates on:</w:t>
      </w:r>
    </w:p>
    <w:p>
      <w:pPr>
        <w:pStyle w:val="Compact"/>
        <w:numPr>
          <w:ilvl w:val="0"/>
          <w:numId w:val="1002"/>
        </w:numPr>
      </w:pPr>
      <w:r>
        <w:rPr>
          <w:b/>
          <w:bCs/>
        </w:rPr>
        <w:t xml:space="preserve">Structurally higher oil prices</w:t>
      </w:r>
      <w:r>
        <w:t xml:space="preserve"> </w:t>
      </w:r>
      <w:r>
        <w:t xml:space="preserve">post-conflict, driven by &gt;500M barrels of lost production, the need to replenish drawn-down commercial inventories and strategic reserves, and a renewed energy-security push toward supply diversification and local resource development.</w:t>
      </w:r>
    </w:p>
    <w:p>
      <w:pPr>
        <w:pStyle w:val="Compact"/>
        <w:numPr>
          <w:ilvl w:val="0"/>
          <w:numId w:val="1002"/>
        </w:numPr>
      </w:pPr>
      <w:r>
        <w:rPr>
          <w:b/>
          <w:bCs/>
        </w:rPr>
        <w:t xml:space="preserve">Offshore/deepwater FID pipeline</w:t>
      </w:r>
      <w:r>
        <w:t xml:space="preserve"> </w:t>
      </w:r>
      <w:r>
        <w:t xml:space="preserve">— SLB cited third-party views of a 2026 FID pipeline adding &gt;$100B, ahead of the prior two years, with a further step-up in 2027 and deepwater taking a large share (Africa, Latin America — Guyana/Brazil/Suriname, Asia). This underpins the constructive 2027–2028 setup.</w:t>
      </w:r>
    </w:p>
    <w:p>
      <w:pPr>
        <w:pStyle w:val="Compact"/>
        <w:numPr>
          <w:ilvl w:val="0"/>
          <w:numId w:val="1002"/>
        </w:numPr>
      </w:pPr>
      <w:r>
        <w:rPr>
          <w:b/>
          <w:bCs/>
        </w:rPr>
        <w:t xml:space="preserve">OneSubsea bookings</w:t>
      </w:r>
      <w:r>
        <w:t xml:space="preserve"> </w:t>
      </w:r>
      <w:r>
        <w:t xml:space="preserve">— the $9B award target across 2026–2027 could see upside if FIDs firm up; backlog was up 5% YoY as of Q1. Watch for new EPC awards (recent wins in Malaysia, South China Sea, Suriname, Norway/Gullfaks).</w:t>
      </w:r>
    </w:p>
    <w:p>
      <w:pPr>
        <w:pStyle w:val="Compact"/>
        <w:numPr>
          <w:ilvl w:val="0"/>
          <w:numId w:val="1002"/>
        </w:numPr>
      </w:pPr>
      <w:r>
        <w:rPr>
          <w:b/>
          <w:bCs/>
        </w:rPr>
        <w:t xml:space="preserve">Middle East recovery cadence</w:t>
      </w:r>
      <w:r>
        <w:t xml:space="preserve"> </w:t>
      </w:r>
      <w:r>
        <w:t xml:space="preserve">— the region is SLB's backyard (85+ years); management expects a gradual, country-by-country restart, with well-intervention/production-recovery work as an early upside lever.</w:t>
      </w:r>
    </w:p>
    <w:p>
      <w:r>
        <w:pict>
          <v:rect style="width:0;height:1.5pt" o:hralign="center" o:hrstd="t" o:hr="t"/>
        </w:pict>
      </w:r>
    </w:p>
    <w:bookmarkEnd w:id="12"/>
    <w:bookmarkStart w:id="13" w:name="Xeb85aeccd353e641b4857dfebc048ec8fc61219"/>
    <w:p>
      <w:pPr>
        <w:pStyle w:val="Heading2"/>
      </w:pPr>
      <w:r>
        <w:t xml:space="preserve">The three growth engines (increasingly the valuation story)</w:t>
      </w:r>
    </w:p>
    <w:p>
      <w:pPr>
        <w:pStyle w:val="Compact"/>
        <w:numPr>
          <w:ilvl w:val="0"/>
          <w:numId w:val="1003"/>
        </w:numPr>
      </w:pPr>
      <w:r>
        <w:rPr>
          <w:b/>
          <w:bCs/>
        </w:rPr>
        <w:t xml:space="preserve">Data Center Solutions</w:t>
      </w:r>
      <w:r>
        <w:t xml:space="preserve"> </w:t>
      </w:r>
      <w:r>
        <w:t xml:space="preserve">— the clear bright spot and, per management, "our fastest growing business for years to come." It grew</w:t>
      </w:r>
      <w:r>
        <w:t xml:space="preserve"> </w:t>
      </w:r>
      <w:r>
        <w:rPr>
          <w:b/>
          <w:bCs/>
        </w:rPr>
        <w:t xml:space="preserve">121% in 2025 to</w:t>
      </w:r>
      <w:r>
        <w:rPr>
          <w:b/>
          <w:bCs/>
        </w:rPr>
        <w:t xml:space="preserve"> </w:t>
      </w:r>
      <m:oMath>
        <m:r>
          <m:t>460</m:t>
        </m:r>
        <m:r>
          <m:t>M</m:t>
        </m:r>
        <m:r>
          <m:rPr>
            <m:sty m:val="p"/>
          </m:rPr>
          <m:t>*</m:t>
        </m:r>
        <m:r>
          <m:rPr>
            <m:sty m:val="p"/>
          </m:rPr>
          <m:t>*</m:t>
        </m:r>
        <m:r>
          <m:rPr>
            <m:sty m:val="p"/>
          </m:rPr>
          <m:t>,</m:t>
        </m:r>
        <m:r>
          <m:t>a</m:t>
        </m:r>
        <m:r>
          <m:t>n</m:t>
        </m:r>
        <m:r>
          <m:t>d</m:t>
        </m:r>
        <m:r>
          <m:t>i</m:t>
        </m:r>
        <m:r>
          <m:t>s</m:t>
        </m:r>
        <m:r>
          <m:t>t</m:t>
        </m:r>
        <m:r>
          <m:t>a</m:t>
        </m:r>
        <m:r>
          <m:t>r</m:t>
        </m:r>
        <m:r>
          <m:t>g</m:t>
        </m:r>
        <m:r>
          <m:t>e</m:t>
        </m:r>
        <m:r>
          <m:t>t</m:t>
        </m:r>
        <m:r>
          <m:t>e</m:t>
        </m:r>
        <m:r>
          <m:t>d</m:t>
        </m:r>
        <m:r>
          <m:t>t</m:t>
        </m:r>
        <m:r>
          <m:t>o</m:t>
        </m:r>
        <m:r>
          <m:t>e</m:t>
        </m:r>
        <m:r>
          <m:t>x</m:t>
        </m:r>
        <m:r>
          <m:t>i</m:t>
        </m:r>
        <m:r>
          <m:t>t</m:t>
        </m:r>
        <m:r>
          <m:t>2026</m:t>
        </m:r>
        <m:r>
          <m:t>a</m:t>
        </m:r>
        <m:r>
          <m:t>t</m:t>
        </m:r>
        <m:r>
          <m:t>a</m:t>
        </m:r>
        <m:r>
          <m:rPr>
            <m:sty m:val="p"/>
          </m:rPr>
          <m:t>*</m:t>
        </m:r>
        <m:r>
          <m:rPr>
            <m:sty m:val="p"/>
          </m:rPr>
          <m:t>*</m:t>
        </m:r>
      </m:oMath>
      <w:r>
        <w:rPr>
          <w:b/>
          <w:bCs/>
        </w:rPr>
        <w:t xml:space="preserve">1B run rate</w:t>
      </w:r>
      <w:r>
        <w:t xml:space="preserve">, accelerating in 2027. SLB has shipped &gt;1.3 GW of prefab modular infrastructure since April 2024 and expects &gt;2 GW cumulatively by year-end. Recent catalysts: selected as</w:t>
      </w:r>
      <w:r>
        <w:t xml:space="preserve"> </w:t>
      </w:r>
      <w:r>
        <w:rPr>
          <w:b/>
          <w:bCs/>
        </w:rPr>
        <w:t xml:space="preserve">NVIDIA DSX AI factory design partner</w:t>
      </w:r>
      <w:r>
        <w:t xml:space="preserve">, a new</w:t>
      </w:r>
      <w:r>
        <w:t xml:space="preserve"> </w:t>
      </w:r>
      <w:r>
        <w:rPr>
          <w:b/>
          <w:bCs/>
        </w:rPr>
        <w:t xml:space="preserve">strategic alliance with Liberty Energy (LBRT)</w:t>
      </w:r>
      <w:r>
        <w:t xml:space="preserve"> </w:t>
      </w:r>
      <w:r>
        <w:t xml:space="preserve">on data-center power/infrastructure (July 14), and potential thermal-management M&amp;A. Look for the exit run-rate reaffirmation and any new hyperscaler customer disclosures.</w:t>
      </w:r>
    </w:p>
    <w:p>
      <w:pPr>
        <w:pStyle w:val="Compact"/>
        <w:numPr>
          <w:ilvl w:val="0"/>
          <w:numId w:val="1003"/>
        </w:numPr>
      </w:pPr>
      <w:r>
        <w:rPr>
          <w:b/>
          <w:bCs/>
        </w:rPr>
        <w:t xml:space="preserve">Digital</w:t>
      </w:r>
      <w:r>
        <w:t xml:space="preserve"> </w:t>
      </w:r>
      <w:r>
        <w:t xml:space="preserve">— ARR crossed</w:t>
      </w:r>
      <w:r>
        <w:t xml:space="preserve"> </w:t>
      </w:r>
      <w:r>
        <w:rPr>
          <w:b/>
          <w:bCs/>
        </w:rPr>
        <w:t xml:space="preserve">$1.0B (+15% YoY)</w:t>
      </w:r>
      <w:r>
        <w:t xml:space="preserve">; management targets full-year adjusted EBITDA margin of</w:t>
      </w:r>
      <w:r>
        <w:t xml:space="preserve"> </w:t>
      </w:r>
      <w:r>
        <w:rPr>
          <w:b/>
          <w:bCs/>
        </w:rPr>
        <w:t xml:space="preserve">≥35%</w:t>
      </w:r>
      <w:r>
        <w:t xml:space="preserve"> </w:t>
      </w:r>
      <w:r>
        <w:t xml:space="preserve">(Q1 margins are seasonally lowest). The</w:t>
      </w:r>
      <w:r>
        <w:t xml:space="preserve"> </w:t>
      </w:r>
      <w:r>
        <w:rPr>
          <w:b/>
          <w:bCs/>
        </w:rPr>
        <w:t xml:space="preserve">S&amp;P Global</w:t>
      </w:r>
      <w:r>
        <w:t xml:space="preserve"> </w:t>
      </w:r>
      <w:r>
        <w:t xml:space="preserve">upstream petrotechnical software acquisition + AI partnership expands its North America/commercial reach. Watch Digital Operations momentum (automated footage +145% YoY in Q1) and any read from the June Digital Investor Day.</w:t>
      </w:r>
    </w:p>
    <w:p>
      <w:pPr>
        <w:pStyle w:val="Compact"/>
        <w:numPr>
          <w:ilvl w:val="0"/>
          <w:numId w:val="1003"/>
        </w:numPr>
      </w:pPr>
      <w:r>
        <w:rPr>
          <w:b/>
          <w:bCs/>
        </w:rPr>
        <w:t xml:space="preserve">Production Recovery / ChampionX</w:t>
      </w:r>
      <w:r>
        <w:t xml:space="preserve"> </w:t>
      </w:r>
      <w:r>
        <w:t xml:space="preserve">— ChampionX has been accretive to margins and grew YoY on a pro forma basis; synergy realization is on track. This is the "less cyclical" pivot toward artificial lift, production chemicals and intervention.</w:t>
      </w:r>
    </w:p>
    <w:p>
      <w:r>
        <w:pict>
          <v:rect style="width:0;height:1.5pt" o:hralign="center" o:hrstd="t" o:hr="t"/>
        </w:pict>
      </w:r>
    </w:p>
    <w:bookmarkEnd w:id="13"/>
    <w:bookmarkStart w:id="14" w:name="capital-returns--the-anchor"/>
    <w:p>
      <w:pPr>
        <w:pStyle w:val="Heading2"/>
      </w:pPr>
      <w:r>
        <w:t xml:space="preserve">Capital returns — the anchor</w:t>
      </w:r>
    </w:p>
    <w:p>
      <w:pPr>
        <w:pStyle w:val="FirstParagraph"/>
      </w:pPr>
      <w:r>
        <w:t xml:space="preserve">SLB has committed to returning</w:t>
      </w:r>
      <w:r>
        <w:t xml:space="preserve"> </w:t>
      </w:r>
      <w:r>
        <w:rPr>
          <w:b/>
          <w:bCs/>
        </w:rPr>
        <w:t xml:space="preserve">&gt;$4B to shareholders in 2026</w:t>
      </w:r>
      <w:r>
        <w:t xml:space="preserve"> </w:t>
      </w:r>
      <w:r>
        <w:t xml:space="preserve">(dividends + buybacks), including a</w:t>
      </w:r>
      <w:r>
        <w:t xml:space="preserve"> </w:t>
      </w:r>
      <w:r>
        <w:rPr>
          <w:b/>
          <w:bCs/>
        </w:rPr>
        <w:t xml:space="preserve">minimum</w:t>
      </w:r>
      <w:r>
        <w:rPr>
          <w:b/>
          <w:bCs/>
        </w:rPr>
        <w:t xml:space="preserve"> </w:t>
      </w:r>
      <m:oMath>
        <m:r>
          <m:t>2.4</m:t>
        </m:r>
        <m:r>
          <m:t>B</m:t>
        </m:r>
        <m:r>
          <m:t>o</m:t>
        </m:r>
        <m:r>
          <m:t>f</m:t>
        </m:r>
        <m:r>
          <m:t>r</m:t>
        </m:r>
        <m:r>
          <m:t>e</m:t>
        </m:r>
        <m:r>
          <m:t>p</m:t>
        </m:r>
        <m:r>
          <m:t>u</m:t>
        </m:r>
        <m:r>
          <m:t>r</m:t>
        </m:r>
        <m:r>
          <m:t>c</m:t>
        </m:r>
        <m:r>
          <m:t>h</m:t>
        </m:r>
        <m:r>
          <m:t>a</m:t>
        </m:r>
        <m:r>
          <m:t>s</m:t>
        </m:r>
        <m:r>
          <m:t>e</m:t>
        </m:r>
        <m:r>
          <m:t>s</m:t>
        </m:r>
        <m:r>
          <m:rPr>
            <m:sty m:val="p"/>
          </m:rPr>
          <m:t>*</m:t>
        </m:r>
        <m:r>
          <m:rPr>
            <m:sty m:val="p"/>
          </m:rPr>
          <m:t>*</m:t>
        </m:r>
        <m:r>
          <m:t>a</m:t>
        </m:r>
        <m:r>
          <m:t>n</m:t>
        </m:r>
        <m:r>
          <m:t>d</m:t>
        </m:r>
        <m:r>
          <m:t>a</m:t>
        </m:r>
        <m:r>
          <m:t>d</m:t>
        </m:r>
        <m:r>
          <m:t>i</m:t>
        </m:r>
        <m:r>
          <m:t>v</m:t>
        </m:r>
        <m:r>
          <m:t>i</m:t>
        </m:r>
        <m:r>
          <m:t>d</m:t>
        </m:r>
        <m:r>
          <m:t>e</m:t>
        </m:r>
        <m:r>
          <m:t>n</m:t>
        </m:r>
        <m:r>
          <m:t>d</m:t>
        </m:r>
        <m:r>
          <m:t>r</m:t>
        </m:r>
        <m:r>
          <m:t>a</m:t>
        </m:r>
        <m:r>
          <m:t>i</m:t>
        </m:r>
        <m:r>
          <m:t>s</m:t>
        </m:r>
        <m:r>
          <m:t>e</m:t>
        </m:r>
        <m:r>
          <m:t>d</m:t>
        </m:r>
        <m:r>
          <m:t>3.5</m:t>
        </m:r>
      </m:oMath>
      <w:r>
        <w:rPr>
          <w:b/>
          <w:bCs/>
        </w:rPr>
        <w:t xml:space="preserve">0.295/quarter</w:t>
      </w:r>
      <w:r>
        <w:t xml:space="preserve">. Full-year capital investment guidance is ~$2.5B. In a soft-earnings quarter, reaffirmation of this commitment and confidence in H2-weighted free cash flow generation will be important for supporting the stock.</w:t>
      </w:r>
    </w:p>
    <w:p>
      <w:r>
        <w:pict>
          <v:rect style="width:0;height:1.5pt" o:hralign="center" o:hrstd="t" o:hr="t"/>
        </w:pict>
      </w:r>
    </w:p>
    <w:bookmarkEnd w:id="14"/>
    <w:bookmarkStart w:id="15" w:name="positioning--whats-priced-in"/>
    <w:p>
      <w:pPr>
        <w:pStyle w:val="Heading2"/>
      </w:pPr>
      <w:r>
        <w:t xml:space="preserve">Positioning / what's priced in</w:t>
      </w:r>
    </w:p>
    <w:p>
      <w:pPr>
        <w:pStyle w:val="FirstParagraph"/>
      </w:pPr>
      <w:r>
        <w:t xml:space="preserve">SLB closed around **</w:t>
      </w:r>
      <m:oMath>
        <m:r>
          <m:t>47.23</m:t>
        </m:r>
        <m:r>
          <m:t>o</m:t>
        </m:r>
        <m:r>
          <m:t>n</m:t>
        </m:r>
        <m:r>
          <m:t>J</m:t>
        </m:r>
        <m:r>
          <m:t>u</m:t>
        </m:r>
        <m:r>
          <m:t>l</m:t>
        </m:r>
        <m:r>
          <m:t>y</m:t>
        </m:r>
        <m:r>
          <m:t>23</m:t>
        </m:r>
        <m:r>
          <m:rPr>
            <m:sty m:val="p"/>
          </m:rPr>
          <m:t>*</m:t>
        </m:r>
        <m:r>
          <m:rPr>
            <m:sty m:val="p"/>
          </m:rPr>
          <m:t>*</m:t>
        </m:r>
        <m:r>
          <m:rPr>
            <m:sty m:val="p"/>
          </m:rPr>
          <m:t>.</m:t>
        </m:r>
        <m:r>
          <m:t>T</m:t>
        </m:r>
        <m:r>
          <m:t>h</m:t>
        </m:r>
        <m:r>
          <m:t>e</m:t>
        </m:r>
        <m:r>
          <m:t>s</m:t>
        </m:r>
        <m:r>
          <m:t>t</m:t>
        </m:r>
        <m:r>
          <m:t>o</m:t>
        </m:r>
        <m:r>
          <m:t>c</m:t>
        </m:r>
        <m:r>
          <m:t>k</m:t>
        </m:r>
        <m:r>
          <m:t>h</m:t>
        </m:r>
        <m:r>
          <m:t>a</m:t>
        </m:r>
        <m:r>
          <m:t>d</m:t>
        </m:r>
        <m:r>
          <m:t>a</m:t>
        </m:r>
        <m:r>
          <m:t>s</m:t>
        </m:r>
        <m:r>
          <m:t>t</m:t>
        </m:r>
        <m:r>
          <m:t>r</m:t>
        </m:r>
        <m:r>
          <m:t>o</m:t>
        </m:r>
        <m:r>
          <m:t>n</m:t>
        </m:r>
        <m:r>
          <m:t>g</m:t>
        </m:r>
        <m:r>
          <m:t>f</m:t>
        </m:r>
        <m:r>
          <m:t>i</m:t>
        </m:r>
        <m:r>
          <m:t>r</m:t>
        </m:r>
        <m:r>
          <m:t>s</m:t>
        </m:r>
        <m:r>
          <m:t>t</m:t>
        </m:r>
        <m:r>
          <m:t>h</m:t>
        </m:r>
        <m:r>
          <m:t>a</m:t>
        </m:r>
        <m:r>
          <m:t>l</m:t>
        </m:r>
        <m:r>
          <m:t>f</m:t>
        </m:r>
        <m:r>
          <m:rPr>
            <m:sty m:val="p"/>
          </m:rPr>
          <m:t>—</m:t>
        </m:r>
        <m:r>
          <m:t>r</m:t>
        </m:r>
        <m:r>
          <m:t>a</m:t>
        </m:r>
        <m:r>
          <m:t>l</m:t>
        </m:r>
        <m:r>
          <m:t>l</m:t>
        </m:r>
        <m:r>
          <m:t>y</m:t>
        </m:r>
        <m:r>
          <m:t>i</m:t>
        </m:r>
        <m:r>
          <m:t>n</m:t>
        </m:r>
        <m:r>
          <m:t>g</m:t>
        </m:r>
        <m:r>
          <m:t>f</m:t>
        </m:r>
        <m:r>
          <m:t>r</m:t>
        </m:r>
        <m:r>
          <m:t>o</m:t>
        </m:r>
        <m:r>
          <m:t>m</m:t>
        </m:r>
        <m:r>
          <m:t> </m:t>
        </m:r>
      </m:oMath>
      <w:r>
        <w:t xml:space="preserve">36 in early December to a peak near **</w:t>
      </w:r>
      <m:oMath>
        <m:r>
          <m:t>58</m:t>
        </m:r>
        <m:r>
          <m:t>i</m:t>
        </m:r>
        <m:r>
          <m:t>n</m:t>
        </m:r>
        <m:r>
          <m:t>e</m:t>
        </m:r>
        <m:r>
          <m:t>a</m:t>
        </m:r>
        <m:r>
          <m:t>r</m:t>
        </m:r>
        <m:r>
          <m:t>l</m:t>
        </m:r>
        <m:r>
          <m:t>y</m:t>
        </m:r>
        <m:r>
          <m:t>J</m:t>
        </m:r>
        <m:r>
          <m:t>u</m:t>
        </m:r>
        <m:r>
          <m:t>n</m:t>
        </m:r>
        <m:r>
          <m:t>e</m:t>
        </m:r>
        <m:r>
          <m:rPr>
            <m:sty m:val="p"/>
          </m:rPr>
          <m:t>*</m:t>
        </m:r>
        <m:r>
          <m:rPr>
            <m:sty m:val="p"/>
          </m:rPr>
          <m:t>*</m:t>
        </m:r>
        <m:r>
          <m:rPr>
            <m:sty m:val="p"/>
          </m:rPr>
          <m:t>—</m:t>
        </m:r>
        <m:r>
          <m:t>b</m:t>
        </m:r>
        <m:r>
          <m:t>e</m:t>
        </m:r>
        <m:r>
          <m:t>f</m:t>
        </m:r>
        <m:r>
          <m:t>o</m:t>
        </m:r>
        <m:r>
          <m:t>r</m:t>
        </m:r>
        <m:r>
          <m:t>e</m:t>
        </m:r>
        <m:r>
          <m:t>s</m:t>
        </m:r>
        <m:r>
          <m:t>e</m:t>
        </m:r>
        <m:r>
          <m:t>l</m:t>
        </m:r>
        <m:r>
          <m:t>l</m:t>
        </m:r>
        <m:r>
          <m:t>i</m:t>
        </m:r>
        <m:r>
          <m:t>n</m:t>
        </m:r>
        <m:r>
          <m:t>g</m:t>
        </m:r>
        <m:r>
          <m:t>o</m:t>
        </m:r>
        <m:r>
          <m:t>f</m:t>
        </m:r>
        <m:r>
          <m:t>f</m:t>
        </m:r>
        <m:r>
          <m:t>s</m:t>
        </m:r>
        <m:r>
          <m:t>h</m:t>
        </m:r>
        <m:r>
          <m:t>a</m:t>
        </m:r>
        <m:r>
          <m:t>r</m:t>
        </m:r>
        <m:r>
          <m:t>p</m:t>
        </m:r>
        <m:r>
          <m:t>l</m:t>
        </m:r>
        <m:r>
          <m:t>y</m:t>
        </m:r>
        <m:r>
          <m:rPr>
            <m:sty m:val="p"/>
          </m:rPr>
          <m:t>(</m:t>
        </m:r>
        <m:r>
          <m:t> </m:t>
        </m:r>
      </m:oMath>
      <w:r>
        <w:t xml:space="preserve">58 → ~</w:t>
      </w:r>
      <m:oMath>
        <m:r>
          <m:t>48</m:t>
        </m:r>
        <m:r>
          <m:rPr>
            <m:sty m:val="p"/>
          </m:rPr>
          <m:t>)</m:t>
        </m:r>
        <m:r>
          <m:t>i</m:t>
        </m:r>
        <m:r>
          <m:t>n</m:t>
        </m:r>
        <m:r>
          <m:t>m</m:t>
        </m:r>
        <m:r>
          <m:t>i</m:t>
        </m:r>
        <m:r>
          <m:t>d</m:t>
        </m:r>
        <m:r>
          <m:rPr>
            <m:sty m:val="p"/>
          </m:rPr>
          <m:t>−</m:t>
        </m:r>
        <m:r>
          <m:t>J</m:t>
        </m:r>
        <m:r>
          <m:t>u</m:t>
        </m:r>
        <m:r>
          <m:t>n</m:t>
        </m:r>
        <m:r>
          <m:t>e</m:t>
        </m:r>
        <m:r>
          <m:t>a</m:t>
        </m:r>
        <m:r>
          <m:t>s</m:t>
        </m:r>
        <m:r>
          <m:t>t</m:t>
        </m:r>
        <m:r>
          <m:t>h</m:t>
        </m:r>
        <m:r>
          <m:t>e</m:t>
        </m:r>
        <m:r>
          <m:t>c</m:t>
        </m:r>
        <m:r>
          <m:t>o</m:t>
        </m:r>
        <m:r>
          <m:t>n</m:t>
        </m:r>
        <m:r>
          <m:t>f</m:t>
        </m:r>
        <m:r>
          <m:t>l</m:t>
        </m:r>
        <m:r>
          <m:t>i</m:t>
        </m:r>
        <m:r>
          <m:t>c</m:t>
        </m:r>
        <m:r>
          <m:t>t</m:t>
        </m:r>
        <m:r>
          <m:t>e</m:t>
        </m:r>
        <m:r>
          <m:t>s</m:t>
        </m:r>
        <m:r>
          <m:t>c</m:t>
        </m:r>
        <m:r>
          <m:t>a</m:t>
        </m:r>
        <m:r>
          <m:t>l</m:t>
        </m:r>
        <m:r>
          <m:t>a</m:t>
        </m:r>
        <m:r>
          <m:t>t</m:t>
        </m:r>
        <m:r>
          <m:t>e</m:t>
        </m:r>
        <m:r>
          <m:t>d</m:t>
        </m:r>
        <m:r>
          <m:rPr>
            <m:sty m:val="p"/>
          </m:rPr>
          <m:t>,</m:t>
        </m:r>
        <m:r>
          <m:t>a</m:t>
        </m:r>
        <m:r>
          <m:t>n</m:t>
        </m:r>
        <m:r>
          <m:t>d</m:t>
        </m:r>
        <m:r>
          <m:t>i</m:t>
        </m:r>
        <m:r>
          <m:t>t</m:t>
        </m:r>
        <m:r>
          <m:t>h</m:t>
        </m:r>
        <m:r>
          <m:t>a</m:t>
        </m:r>
        <m:r>
          <m:t>s</m:t>
        </m:r>
        <m:r>
          <m:t>s</m:t>
        </m:r>
        <m:r>
          <m:t>i</m:t>
        </m:r>
        <m:r>
          <m:t>n</m:t>
        </m:r>
        <m:r>
          <m:t>c</m:t>
        </m:r>
        <m:r>
          <m:t>e</m:t>
        </m:r>
        <m:r>
          <m:t>t</m:t>
        </m:r>
        <m:r>
          <m:t>r</m:t>
        </m:r>
        <m:r>
          <m:t>a</m:t>
        </m:r>
        <m:r>
          <m:t>d</m:t>
        </m:r>
        <m:r>
          <m:t>e</m:t>
        </m:r>
        <m:r>
          <m:t>d</m:t>
        </m:r>
        <m:r>
          <m:t>s</m:t>
        </m:r>
        <m:r>
          <m:t>i</m:t>
        </m:r>
        <m:r>
          <m:t>d</m:t>
        </m:r>
        <m:r>
          <m:t>e</m:t>
        </m:r>
        <m:r>
          <m:t>w</m:t>
        </m:r>
        <m:r>
          <m:t>a</m:t>
        </m:r>
        <m:r>
          <m:t>y</m:t>
        </m:r>
        <m:r>
          <m:t>s</m:t>
        </m:r>
        <m:r>
          <m:t>i</m:t>
        </m:r>
        <m:r>
          <m:t>n</m:t>
        </m:r>
        <m:r>
          <m:t>t</m:t>
        </m:r>
        <m:r>
          <m:t>h</m:t>
        </m:r>
        <m:r>
          <m:t>e</m:t>
        </m:r>
        <m:r>
          <m:t>h</m:t>
        </m:r>
        <m:r>
          <m:t>i</m:t>
        </m:r>
        <m:r>
          <m:t>g</m:t>
        </m:r>
        <m:r>
          <m:t>h</m:t>
        </m:r>
        <m:r>
          <m:rPr>
            <m:sty m:val="p"/>
          </m:rPr>
          <m:t>−</m:t>
        </m:r>
      </m:oMath>
      <w:r>
        <w:t xml:space="preserve">40s. Peers HAL (~</w:t>
      </w:r>
      <m:oMath>
        <m:r>
          <m:t>33</m:t>
        </m:r>
        <m:r>
          <m:rPr>
            <m:sty m:val="p"/>
          </m:rPr>
          <m:t>)</m:t>
        </m:r>
        <m:r>
          <m:t>a</m:t>
        </m:r>
        <m:r>
          <m:t>n</m:t>
        </m:r>
        <m:r>
          <m:t>d</m:t>
        </m:r>
        <m:r>
          <m:t>B</m:t>
        </m:r>
        <m:r>
          <m:t>K</m:t>
        </m:r>
        <m:r>
          <m:t>R</m:t>
        </m:r>
        <m:r>
          <m:rPr>
            <m:sty m:val="p"/>
          </m:rPr>
          <m:t>(</m:t>
        </m:r>
        <m:r>
          <m:t> </m:t>
        </m:r>
      </m:oMath>
      <w:r>
        <w:t xml:space="preserve">56) show a similar oil-services pattern.</w:t>
      </w:r>
    </w:p>
    <w:p>
      <w:pPr>
        <w:pStyle w:val="BodyText"/>
      </w:pPr>
      <w:r>
        <w:t xml:space="preserve">The pullback suggests the market has already discounted a weak Q2 print. That shifts the risk/reward around</w:t>
      </w:r>
      <w:r>
        <w:t xml:space="preserve"> </w:t>
      </w:r>
      <w:r>
        <w:rPr>
          <w:b/>
          <w:bCs/>
        </w:rPr>
        <w:t xml:space="preserve">two forward-looking items</w:t>
      </w:r>
      <w:r>
        <w:t xml:space="preserve">: (1) the</w:t>
      </w:r>
      <w:r>
        <w:t xml:space="preserve"> </w:t>
      </w:r>
      <w:r>
        <w:rPr>
          <w:b/>
          <w:bCs/>
        </w:rPr>
        <w:t xml:space="preserve">Q3 outlook and Middle East recovery timeline</w:t>
      </w:r>
      <w:r>
        <w:t xml:space="preserve">, and (2) reaffirmation of the</w:t>
      </w:r>
      <w:r>
        <w:t xml:space="preserve"> </w:t>
      </w:r>
      <w:r>
        <w:rPr>
          <w:b/>
          <w:bCs/>
        </w:rPr>
        <w:t xml:space="preserve">data-center exit run-rate, digital margins, and &gt;$4B capital return</w:t>
      </w:r>
      <w:r>
        <w:t xml:space="preserve">. A benign, in-line Q2 with a credible recovery narrative could be received well despite the ugly YoY comp; conversely, evidence the disruption is deepening (consistent with $100+ crude and escalation headlines) — or a cut to the H2/2026 framework — would be the negative surprise.</w:t>
      </w:r>
    </w:p>
    <w:p>
      <w:pPr>
        <w:pStyle w:val="BodyText"/>
      </w:pPr>
      <w:r>
        <w:rPr>
          <w:b/>
          <w:bCs/>
        </w:rPr>
        <w:t xml:space="preserve">Net:</w:t>
      </w:r>
      <w:r>
        <w:t xml:space="preserve"> </w:t>
      </w:r>
      <w:r>
        <w:t xml:space="preserve">Look past the headline EPS decline. The signal is in the Middle East recovery cadence, decremental margins/cost recovery, and whether the structural growth levers (data centers, digital, offshore FIDs, capital returns) remain firmly on track.</w:t>
      </w:r>
    </w:p>
    <w:p>
      <w:r>
        <w:pict>
          <v:rect style="width:0;height:1.5pt" o:hralign="center" o:hrstd="t" o:hr="t"/>
        </w:pict>
      </w:r>
    </w:p>
    <w:p>
      <w:pPr>
        <w:pStyle w:val="FirstParagraph"/>
      </w:pPr>
      <w:r>
        <w:rPr>
          <w:i/>
          <w:iCs/>
        </w:rPr>
        <w:t xml:space="preserve">Note: Figures are drawn from SLB's Q1 2026 earnings call, the Q4/FY2025 and Q2 2025 earnings releases, and recent news; there is no reported quarter yet for Q2 2026. Verify against the actual release on July 24.</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2026-07-24T00:13:30Z</dcterms:created>
  <dcterms:modified xsi:type="dcterms:W3CDTF">2026-07-24T00:13:30Z</dcterms:modified>
</cp:coreProperties>
</file>

<file path=docProps/custom.xml><?xml version="1.0" encoding="utf-8"?>
<Properties xmlns="http://schemas.openxmlformats.org/officeDocument/2006/custom-properties" xmlns:vt="http://schemas.openxmlformats.org/officeDocument/2006/docPropsVTypes"/>
</file>