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slb-earnings-predictions--2026-07-24"/>
    <w:p>
      <w:pPr>
        <w:pStyle w:val="Heading1"/>
      </w:pPr>
      <w:r>
        <w:t xml:space="preserve">SLB Earnings Predictions — 2026-07-24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SLB</w:t>
            </w:r>
          </w:p>
        </w:tc>
        <w:tc>
          <w:tcPr/>
          <w:p>
            <w:pPr>
              <w:pStyle w:val="Compact"/>
            </w:pPr>
            <w:r>
              <w:t xml:space="preserve">Report</w:t>
            </w:r>
          </w:p>
        </w:tc>
        <w:tc>
          <w:tcPr/>
          <w:p>
            <w:pPr>
              <w:pStyle w:val="Compact"/>
            </w:pPr>
            <w:r>
              <w:t xml:space="preserve">Adjusted EPS</w:t>
            </w:r>
          </w:p>
        </w:tc>
        <w:tc>
          <w:tcPr/>
          <w:p>
            <w:pPr>
              <w:pStyle w:val="Compact"/>
            </w:pPr>
            <w:r>
              <w:t xml:space="preserve">MISS</w:t>
            </w:r>
          </w:p>
        </w:tc>
        <w:tc>
          <w:tcPr/>
          <w:p>
            <w:pPr>
              <w:pStyle w:val="Compact"/>
            </w:pPr>
            <w:r>
              <w:t xml:space="preserve">pred ~$0.46 vs. cons $0.52</w:t>
            </w:r>
          </w:p>
        </w:tc>
        <w:tc>
          <w:tcPr/>
          <w:p>
            <w:pPr>
              <w:pStyle w:val="Compact"/>
            </w:pPr>
            <w:r>
              <w:t xml:space="preserve">MEDIUM</w:t>
            </w:r>
          </w:p>
        </w:tc>
      </w:tr>
      <w:tr>
        <w:tc>
          <w:tcPr/>
          <w:p>
            <w:pPr>
              <w:pStyle w:val="Compact"/>
            </w:pPr>
            <w:r>
              <w:t xml:space="preserve">SLB</w:t>
            </w:r>
          </w:p>
        </w:tc>
        <w:tc>
          <w:tcPr/>
          <w:p>
            <w:pPr>
              <w:pStyle w:val="Compact"/>
            </w:pPr>
            <w:r>
              <w:t xml:space="preserve">Report</w:t>
            </w:r>
          </w:p>
        </w:tc>
        <w:tc>
          <w:tcPr/>
          <w:p>
            <w:pPr>
              <w:pStyle w:val="Compact"/>
            </w:pPr>
            <w:r>
              <w:t xml:space="preserve">Total Revenue</w:t>
            </w:r>
          </w:p>
        </w:tc>
        <w:tc>
          <w:tcPr/>
          <w:p>
            <w:pPr>
              <w:pStyle w:val="Compact"/>
            </w:pPr>
            <w:r>
              <w:t xml:space="preserve">MISS</w:t>
            </w:r>
          </w:p>
        </w:tc>
        <w:tc>
          <w:tcPr/>
          <w:p>
            <w:pPr>
              <w:pStyle w:val="Compact"/>
            </w:pPr>
            <w:r>
              <w:t xml:space="preserve">pred ~$8.55B vs. cons $8.71B</w:t>
            </w:r>
          </w:p>
        </w:tc>
        <w:tc>
          <w:tcPr/>
          <w:p>
            <w:pPr>
              <w:pStyle w:val="Compact"/>
            </w:pPr>
            <w:r>
              <w:t xml:space="preserve">MEDIUM</w:t>
            </w:r>
          </w:p>
        </w:tc>
      </w:tr>
      <w:tr>
        <w:tc>
          <w:tcPr/>
          <w:p>
            <w:pPr>
              <w:pStyle w:val="Compact"/>
            </w:pPr>
            <w:r>
              <w:t xml:space="preserve">SLB</w:t>
            </w:r>
          </w:p>
        </w:tc>
        <w:tc>
          <w:tcPr/>
          <w:p>
            <w:pPr>
              <w:pStyle w:val="Compact"/>
            </w:pPr>
            <w:r>
              <w:t xml:space="preserve">Report</w:t>
            </w:r>
          </w:p>
        </w:tc>
        <w:tc>
          <w:tcPr/>
          <w:p>
            <w:pPr>
              <w:pStyle w:val="Compact"/>
            </w:pPr>
            <w:r>
              <w:t xml:space="preserve">Middle East &amp; Asia Revenue</w:t>
            </w:r>
          </w:p>
        </w:tc>
        <w:tc>
          <w:tcPr/>
          <w:p>
            <w:pPr>
              <w:pStyle w:val="Compact"/>
            </w:pPr>
            <w:r>
              <w:t xml:space="preserve">MISS</w:t>
            </w:r>
          </w:p>
        </w:tc>
        <w:tc>
          <w:tcPr/>
          <w:p>
            <w:pPr>
              <w:pStyle w:val="Compact"/>
            </w:pPr>
            <w:r>
              <w:t xml:space="preserve">pred ~</w:t>
            </w:r>
            <m:oMath>
              <m:r>
                <m:t>2.35</m:t>
              </m:r>
              <m:r>
                <m:t>B</m:t>
              </m:r>
              <m:r>
                <m:t>v</m:t>
              </m:r>
              <m:r>
                <m:t>s</m:t>
              </m:r>
              <m:r>
                <m:rPr>
                  <m:sty m:val="p"/>
                </m:rPr>
                <m:t>.</m:t>
              </m:r>
              <m:r>
                <m:t>c</m:t>
              </m:r>
              <m:r>
                <m:t>o</m:t>
              </m:r>
              <m:r>
                <m:t>n</m:t>
              </m:r>
              <m:r>
                <m:t>s</m:t>
              </m:r>
              <m:r>
                <m:t> </m:t>
              </m:r>
            </m:oMath>
            <w:r>
              <w:t xml:space="preserve">2.60B</w:t>
            </w:r>
          </w:p>
        </w:tc>
        <w:tc>
          <w:tcPr/>
          <w:p>
            <w:pPr>
              <w:pStyle w:val="Compact"/>
            </w:pPr>
            <w:r>
              <w:t xml:space="preserve">MEDIUM</w:t>
            </w:r>
          </w:p>
        </w:tc>
      </w:tr>
      <w:tr>
        <w:tc>
          <w:tcPr/>
          <w:p>
            <w:pPr>
              <w:pStyle w:val="Compact"/>
            </w:pPr>
            <w:r>
              <w:t xml:space="preserve">SLB</w:t>
            </w:r>
          </w:p>
        </w:tc>
        <w:tc>
          <w:tcPr/>
          <w:p>
            <w:pPr>
              <w:pStyle w:val="Compact"/>
            </w:pPr>
            <w:r>
              <w:t xml:space="preserve">Guide</w:t>
            </w:r>
          </w:p>
        </w:tc>
        <w:tc>
          <w:tcPr/>
          <w:p>
            <w:pPr>
              <w:pStyle w:val="Compact"/>
            </w:pPr>
            <w:r>
              <w:t xml:space="preserve">FY2026 EPS/earnings framework (H2 recovery narrative)</w:t>
            </w:r>
          </w:p>
        </w:tc>
        <w:tc>
          <w:tcPr/>
          <w:p>
            <w:pPr>
              <w:pStyle w:val="Compact"/>
            </w:pPr>
            <w:r>
              <w:t xml:space="preserve">LOWER</w:t>
            </w:r>
          </w:p>
        </w:tc>
        <w:tc>
          <w:tcPr/>
          <w:p>
            <w:pPr>
              <w:pStyle w:val="Compact"/>
            </w:pPr>
            <w:r>
              <w:t xml:space="preserve">guide ~</w:t>
            </w:r>
            <m:oMath>
              <m:r>
                <m:t>2.05</m:t>
              </m:r>
              <m:r>
                <m:rPr>
                  <m:sty m:val="p"/>
                </m:rPr>
                <m:t>−</m:t>
              </m:r>
              <m:r>
                <m:t>2.15</m:t>
              </m:r>
              <m:r>
                <m:t>F</m:t>
              </m:r>
              <m:r>
                <m:t>Y</m:t>
              </m:r>
              <m:r>
                <m:t>26</m:t>
              </m:r>
              <m:r>
                <m:t>v</m:t>
              </m:r>
              <m:r>
                <m:t>s</m:t>
              </m:r>
              <m:r>
                <m:rPr>
                  <m:sty m:val="p"/>
                </m:rPr>
                <m:t>.</m:t>
              </m:r>
              <m:r>
                <m:t>c</m:t>
              </m:r>
              <m:r>
                <m:t>o</m:t>
              </m:r>
              <m:r>
                <m:t>n</m:t>
              </m:r>
              <m:r>
                <m:t>s</m:t>
              </m:r>
              <m:r>
                <m:t> </m:t>
              </m:r>
            </m:oMath>
            <w:r>
              <w:t xml:space="preserve">2.25 (FY2026)</w:t>
            </w:r>
          </w:p>
        </w:tc>
        <w:tc>
          <w:tcPr/>
          <w:p>
            <w:pPr>
              <w:pStyle w:val="Compact"/>
            </w:pPr>
            <w:r>
              <w:t xml:space="preserve">MEDIUM</w:t>
            </w:r>
          </w:p>
        </w:tc>
      </w:tr>
      <w:tr>
        <w:tc>
          <w:tcPr/>
          <w:p>
            <w:pPr>
              <w:pStyle w:val="Compact"/>
            </w:pPr>
            <w:r>
              <w:t xml:space="preserve">SLB</w:t>
            </w:r>
          </w:p>
        </w:tc>
        <w:tc>
          <w:tcPr/>
          <w:p>
            <w:pPr>
              <w:pStyle w:val="Compact"/>
            </w:pPr>
            <w:r>
              <w:t xml:space="preserve">Guide</w:t>
            </w:r>
          </w:p>
        </w:tc>
        <w:tc>
          <w:tcPr/>
          <w:p>
            <w:pPr>
              <w:pStyle w:val="Compact"/>
            </w:pPr>
            <w:r>
              <w:t xml:space="preserve">Q3 2026 EPS guide</w:t>
            </w:r>
          </w:p>
        </w:tc>
        <w:tc>
          <w:tcPr/>
          <w:p>
            <w:pPr>
              <w:pStyle w:val="Compact"/>
            </w:pPr>
            <w:r>
              <w:t xml:space="preserve">LOWER</w:t>
            </w:r>
          </w:p>
        </w:tc>
        <w:tc>
          <w:tcPr/>
          <w:p>
            <w:pPr>
              <w:pStyle w:val="Compact"/>
            </w:pPr>
            <w:r>
              <w:t xml:space="preserve">guide ~$0.53 vs. cons $0.58 (Q3 2026)</w:t>
            </w:r>
          </w:p>
        </w:tc>
        <w:tc>
          <w:tcPr/>
          <w:p>
            <w:pPr>
              <w:pStyle w:val="Compact"/>
            </w:pPr>
            <w:r>
              <w:t xml:space="preserve">LOW</w:t>
            </w:r>
          </w:p>
        </w:tc>
      </w:tr>
      <w:tr>
        <w:tc>
          <w:tcPr/>
          <w:p>
            <w:pPr>
              <w:pStyle w:val="Compact"/>
            </w:pPr>
            <w:r>
              <w:t xml:space="preserve">SLB</w:t>
            </w:r>
          </w:p>
        </w:tc>
        <w:tc>
          <w:tcPr/>
          <w:p>
            <w:pPr>
              <w:pStyle w:val="Compact"/>
            </w:pPr>
            <w:r>
              <w:t xml:space="preserve">Guide</w:t>
            </w:r>
          </w:p>
        </w:tc>
        <w:tc>
          <w:tcPr/>
          <w:p>
            <w:pPr>
              <w:pStyle w:val="Compact"/>
            </w:pPr>
            <w:r>
              <w:t xml:space="preserve">2026 Shareholder Returns (buybacks+dividends)</w:t>
            </w:r>
          </w:p>
        </w:tc>
        <w:tc>
          <w:tcPr/>
          <w:p>
            <w:pPr>
              <w:pStyle w:val="Compact"/>
            </w:pPr>
            <w:r>
              <w:t xml:space="preserve">UNCHANGED</w:t>
            </w:r>
          </w:p>
        </w:tc>
        <w:tc>
          <w:tcPr/>
          <w:p>
            <w:pPr>
              <w:pStyle w:val="Compact"/>
            </w:pPr>
            <w:r>
              <w:t xml:space="preserve">guide ~$4.0B vs. cons $4.0B (FY2026)</w:t>
            </w:r>
          </w:p>
        </w:tc>
        <w:tc>
          <w:tcPr/>
          <w:p>
            <w:pPr>
              <w:pStyle w:val="Compact"/>
            </w:pPr>
            <w:r>
              <w:t xml:space="preserve">MEDIUM</w:t>
            </w:r>
          </w:p>
        </w:tc>
      </w:tr>
      <w:tr>
        <w:tc>
          <w:tcPr/>
          <w:p>
            <w:pPr>
              <w:pStyle w:val="Compact"/>
            </w:pPr>
            <w:r>
              <w:t xml:space="preserve">SLB</w:t>
            </w:r>
          </w:p>
        </w:tc>
        <w:tc>
          <w:tcPr/>
          <w:p>
            <w:pPr>
              <w:pStyle w:val="Compact"/>
            </w:pPr>
            <w:r>
              <w:t xml:space="preserve">Guide</w:t>
            </w:r>
          </w:p>
        </w:tc>
        <w:tc>
          <w:tcPr/>
          <w:p>
            <w:pPr>
              <w:pStyle w:val="Compact"/>
            </w:pPr>
            <w:r>
              <w:t xml:space="preserve">Data Center Solutions exit run-rate</w:t>
            </w:r>
          </w:p>
        </w:tc>
        <w:tc>
          <w:tcPr/>
          <w:p>
            <w:pPr>
              <w:pStyle w:val="Compact"/>
            </w:pPr>
            <w:r>
              <w:t xml:space="preserve">UNCHANGED</w:t>
            </w:r>
          </w:p>
        </w:tc>
        <w:tc>
          <w:tcPr/>
          <w:p>
            <w:pPr>
              <w:pStyle w:val="Compact"/>
            </w:pPr>
            <w:r>
              <w:t xml:space="preserve">guide ~$1.0B exit run-rate vs. cons $1.0B (YE2026)</w:t>
            </w:r>
          </w:p>
        </w:tc>
        <w:tc>
          <w:tcPr/>
          <w:p>
            <w:pPr>
              <w:pStyle w:val="Compact"/>
            </w:pPr>
            <w:r>
              <w:t xml:space="preserve">MEDIUM</w:t>
            </w:r>
          </w:p>
        </w:tc>
      </w:tr>
      <w:tr>
        <w:tc>
          <w:tcPr/>
          <w:p>
            <w:pPr>
              <w:pStyle w:val="Compact"/>
            </w:pPr>
            <w:r>
              <w:t xml:space="preserve">SLB</w:t>
            </w:r>
          </w:p>
        </w:tc>
        <w:tc>
          <w:tcPr/>
          <w:p>
            <w:pPr>
              <w:pStyle w:val="Compact"/>
            </w:pPr>
            <w:r>
              <w:t xml:space="preserve">Return</w:t>
            </w:r>
          </w:p>
        </w:tc>
        <w:tc>
          <w:tcPr/>
          <w:p>
            <w:pPr>
              <w:pStyle w:val="Compact"/>
            </w:pPr>
            <w:r>
              <w:t xml:space="preserve">Day-1 residual (stock − beta × S&amp;P 500)</w:t>
            </w:r>
          </w:p>
        </w:tc>
        <w:tc>
          <w:tcPr/>
          <w:p>
            <w:pPr>
              <w:pStyle w:val="Compact"/>
            </w:pPr>
            <w:r>
              <w:t xml:space="preserve">-5.0%</w:t>
            </w:r>
          </w:p>
        </w:tc>
        <w:tc>
          <w:tcPr/>
          <w:p>
            <w:pPr>
              <w:pStyle w:val="Compact"/>
            </w:pPr>
            <w:r>
              <w:t xml:space="preserve">—</w:t>
            </w:r>
          </w:p>
        </w:tc>
        <w:tc>
          <w:tcPr/>
          <w:p>
            <w:pPr>
              <w:pStyle w:val="Compact"/>
            </w:pPr>
            <w:r>
              <w:t xml:space="preserve">MEDIUM</w:t>
            </w:r>
          </w:p>
        </w:tc>
      </w:tr>
      <w:tr>
        <w:tc>
          <w:tcPr/>
          <w:p>
            <w:pPr>
              <w:pStyle w:val="Compact"/>
            </w:pPr>
            <w:r>
              <w:t xml:space="preserve">SLB</w:t>
            </w:r>
          </w:p>
        </w:tc>
        <w:tc>
          <w:tcPr/>
          <w:p>
            <w:pPr>
              <w:pStyle w:val="Compact"/>
            </w:pPr>
            <w:r>
              <w:t xml:space="preserve">Return</w:t>
            </w:r>
          </w:p>
        </w:tc>
        <w:tc>
          <w:tcPr/>
          <w:p>
            <w:pPr>
              <w:pStyle w:val="Compact"/>
            </w:pPr>
            <w:r>
              <w:t xml:space="preserve">5-day cumulative residual</w:t>
            </w:r>
          </w:p>
        </w:tc>
        <w:tc>
          <w:tcPr/>
          <w:p>
            <w:pPr>
              <w:pStyle w:val="Compact"/>
            </w:pPr>
            <w:r>
              <w:t xml:space="preserve">-7.5% (FOLLOW-THROUGH)</w:t>
            </w:r>
          </w:p>
        </w:tc>
        <w:tc>
          <w:tcPr/>
          <w:p>
            <w:pPr>
              <w:pStyle w:val="Compact"/>
            </w:pPr>
            <w:r>
              <w:t xml:space="preserve">HAL's Q2 print already showed Street underestimating Middle East margin damage even with in-line EPS, and SLB's own Q1 recovery assumption (mid-quarter easing) was invalidated by Qatar/Iraq force-majeure extensions through October. A Q2 EPS/margin miss paired with a cautious or reduced full-year/H2 framework should trigger sell-side model updates that cut out-quarter (Q3/Q4/FY26) EPS and FCF estimates over the following days, pulling the stock lower in follow-through fashion rather than stabilizing, since the negative revision cycle (analogous to HAL, whose stock kept sliding after initial reaction) tends to play out over multiple sessions as models are rebuilt around a longer disruption timeline.</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2026-07-24T00:11:11Z</dcterms:created>
  <dcterms:modified xsi:type="dcterms:W3CDTF">2026-07-24T00:11:11Z</dcterms:modified>
</cp:coreProperties>
</file>

<file path=docProps/custom.xml><?xml version="1.0" encoding="utf-8"?>
<Properties xmlns="http://schemas.openxmlformats.org/officeDocument/2006/custom-properties" xmlns:vt="http://schemas.openxmlformats.org/officeDocument/2006/docPropsVTypes"/>
</file>