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SLB's recent financial performance, guidance, and market context before writing the preview.# SLB (NYSE: SLB) Q2 2026 Earnings Preview</w:t>
      </w:r>
      <w:r>
        <w:t xml:space="preserve"> </w:t>
      </w:r>
      <w:r>
        <w:rPr>
          <w:b/>
          <w:bCs/>
        </w:rPr>
        <w:t xml:space="preserve">Reports: Friday, July 24, 2026, before market open | Conference call: 7:00 a.m. ET</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Consensus EPS (adjusted)</w:t>
            </w:r>
          </w:p>
        </w:tc>
        <w:tc>
          <w:tcPr/>
          <w:p>
            <w:pPr>
              <w:pStyle w:val="Compact"/>
            </w:pPr>
            <w:r>
              <w:t xml:space="preserve">~</w:t>
            </w:r>
            <m:oMath>
              <m:r>
                <m:t>0.51</m:t>
              </m:r>
              <m:r>
                <m:rPr>
                  <m:sty m:val="p"/>
                </m:rPr>
                <m:t>–</m:t>
              </m:r>
            </m:oMath>
            <w:r>
              <w:t xml:space="preserve">0.52, down ~30% y/y from $0.74</w:t>
            </w:r>
          </w:p>
        </w:tc>
      </w:tr>
      <w:tr>
        <w:tc>
          <w:tcPr/>
          <w:p>
            <w:pPr>
              <w:pStyle w:val="Compact"/>
            </w:pPr>
            <w:r>
              <w:t xml:space="preserve">Consensus Revenue</w:t>
            </w:r>
          </w:p>
        </w:tc>
        <w:tc>
          <w:tcPr/>
          <w:p>
            <w:pPr>
              <w:pStyle w:val="Compact"/>
            </w:pPr>
            <w:r>
              <w:t xml:space="preserve">~</w:t>
            </w:r>
            <m:oMath>
              <m:r>
                <m:t>8.65</m:t>
              </m:r>
              <m:r>
                <m:rPr>
                  <m:sty m:val="p"/>
                </m:rPr>
                <m:t>–</m:t>
              </m:r>
            </m:oMath>
            <w:r>
              <w:t xml:space="preserve">8.72B, roughly flat to +2% y/y</w:t>
            </w:r>
          </w:p>
        </w:tc>
      </w:tr>
      <w:tr>
        <w:tc>
          <w:tcPr/>
          <w:p>
            <w:pPr>
              <w:pStyle w:val="Compact"/>
            </w:pPr>
            <w:r>
              <w:t xml:space="preserve">Prior quarter (Q1'26) adjusted EPS</w:t>
            </w:r>
          </w:p>
        </w:tc>
        <w:tc>
          <w:tcPr/>
          <w:p>
            <w:pPr>
              <w:pStyle w:val="Compact"/>
            </w:pPr>
            <w:r>
              <w:t xml:space="preserve">$0.52 (in line with estimates)</w:t>
            </w:r>
          </w:p>
        </w:tc>
      </w:tr>
      <w:tr>
        <w:tc>
          <w:tcPr/>
          <w:p>
            <w:pPr>
              <w:pStyle w:val="Compact"/>
            </w:pPr>
            <w:r>
              <w:t xml:space="preserve">Stock price (as of 7/23)</w:t>
            </w:r>
          </w:p>
        </w:tc>
        <w:tc>
          <w:tcPr/>
          <w:p>
            <w:pPr>
              <w:pStyle w:val="Compact"/>
            </w:pPr>
            <w:r>
              <w:t xml:space="preserve">~$47, down from a 2026 high near $58.8</w:t>
            </w:r>
          </w:p>
        </w:tc>
      </w:tr>
      <w:tr>
        <w:tc>
          <w:tcPr/>
          <w:p>
            <w:pPr>
              <w:pStyle w:val="Compact"/>
            </w:pPr>
            <w:r>
              <w:t xml:space="preserve">Analyst sentiment</w:t>
            </w:r>
          </w:p>
        </w:tc>
        <w:tc>
          <w:tcPr/>
          <w:p>
            <w:pPr>
              <w:pStyle w:val="Compact"/>
            </w:pPr>
            <w:r>
              <w:t xml:space="preserve">Moderate/Strong Buy consensus, avg. PT ~$60 (~28% upside), though several banks trimmed targets in July</w:t>
            </w:r>
          </w:p>
        </w:tc>
      </w:tr>
      <w:tr>
        <w:tc>
          <w:tcPr/>
          <w:p>
            <w:pPr>
              <w:pStyle w:val="Compact"/>
            </w:pPr>
            <w:r>
              <w:t xml:space="preserve">Dividend</w:t>
            </w:r>
          </w:p>
        </w:tc>
        <w:tc>
          <w:tcPr/>
          <w:p>
            <w:pPr>
              <w:pStyle w:val="Compact"/>
            </w:pPr>
            <w:r>
              <w:t xml:space="preserve">$0.295/quarter (~2.5% yield)</w:t>
            </w:r>
          </w:p>
        </w:tc>
      </w:tr>
    </w:tbl>
    <w:p>
      <w:pPr>
        <w:pStyle w:val="BodyText"/>
      </w:pPr>
      <w:r>
        <w:t xml:space="preserve">Analysts expect the company's EPS to be $0.52 on a diluted basis, down 29.7% from $0.74 in the year-ago quarter. The Zacks Consensus Estimate for revenues is pegged at $8.71 billion, indicating an increase of 1.9% from the year-ago recorded figure. Notably, the Zacks Consensus Estimate for second-quarter earnings per share of 51 cents has seen downward revisions in the past seven days, and the model does not conclusively predict an earnings beat for SLB this time around — a departure from SLB's usual pattern, since the company has a history of exceeding EPS estimates 88% of the time.</w:t>
      </w:r>
    </w:p>
    <w:p>
      <w:r>
        <w:pict>
          <v:rect style="width:0;height:1.5pt" o:hralign="center" o:hrstd="t" o:hr="t"/>
        </w:pict>
      </w:r>
    </w:p>
    <w:bookmarkEnd w:id="9"/>
    <w:bookmarkStart w:id="10" w:name="Xc09e248221f5618bfdef6b787a223c34d9ee051"/>
    <w:p>
      <w:pPr>
        <w:pStyle w:val="Heading2"/>
      </w:pPr>
      <w:r>
        <w:t xml:space="preserve">The story since Q1: A war-disrupted business trying to find its footing</w:t>
      </w:r>
    </w:p>
    <w:p>
      <w:pPr>
        <w:pStyle w:val="FirstParagraph"/>
      </w:pPr>
      <w:r>
        <w:t xml:space="preserve">SLB entered 2026 already dealing with the fallout of the Iran conflict. In the first quarter, revenue from Middle East and Asia dropped 10% to $2.69 billion, hurt by disruptions in Qatar due to a force majeure and in Iraq and offshore operations across the region from production shut-in constraints and security conditions. Company-wide, revenue of $8.72B grew only 3% y/y (all from the ChampionX acquisition), while adjusted EBITDA margin compressed 346 bps to 20.3% and adjusted EPS fell 28% y/y to $0.52.</w:t>
      </w:r>
    </w:p>
    <w:p>
      <w:pPr>
        <w:pStyle w:val="BodyText"/>
      </w:pPr>
      <w:r>
        <w:t xml:space="preserve">On the Q1 call, management laid out a</w:t>
      </w:r>
      <w:r>
        <w:t xml:space="preserve"> </w:t>
      </w:r>
      <w:r>
        <w:rPr>
          <w:b/>
          <w:bCs/>
        </w:rPr>
        <w:t xml:space="preserve">specific recovery scenario</w:t>
      </w:r>
      <w:r>
        <w:t xml:space="preserve"> </w:t>
      </w:r>
      <w:r>
        <w:t xml:space="preserve">for Q2: disruption persisting through mid-quarter before gradually easing, with the resulting Middle East hit (an incremental</w:t>
      </w:r>
      <w:r>
        <w:t xml:space="preserve"> </w:t>
      </w:r>
      <m:oMath>
        <m:r>
          <m:t>0.06</m:t>
        </m:r>
        <m:r>
          <m:rPr>
            <m:sty m:val="p"/>
          </m:rPr>
          <m:t>–</m:t>
        </m:r>
      </m:oMath>
      <w:r>
        <w:rPr>
          <w:b/>
          <w:bCs/>
        </w:rPr>
        <w:t xml:space="preserve">0.08 EPS drag</w:t>
      </w:r>
      <w:r>
        <w:t xml:space="preserve"> </w:t>
      </w:r>
      <w:r>
        <w:t xml:space="preserve">vs. Q1) fully offset by mid-to-high single-digit growth in the rest of the international portfolio, keeping Q2 EPS roughly flat with Q1's $0.52.</w:t>
      </w:r>
    </w:p>
    <w:p>
      <w:pPr>
        <w:pStyle w:val="BodyText"/>
      </w:pPr>
      <w:r>
        <w:rPr>
          <w:b/>
          <w:bCs/>
        </w:rPr>
        <w:t xml:space="preserve">That scenario has not played out as hoped.</w:t>
      </w:r>
      <w:r>
        <w:t xml:space="preserve"> </w:t>
      </w:r>
      <w:r>
        <w:t xml:space="preserve">Rather than de-escalating, the conflict has widened:</w:t>
      </w:r>
    </w:p>
    <w:p>
      <w:pPr>
        <w:pStyle w:val="Compact"/>
        <w:numPr>
          <w:ilvl w:val="0"/>
          <w:numId w:val="1001"/>
        </w:numPr>
      </w:pPr>
      <w:r>
        <w:t xml:space="preserve">Middle East geopolitical disruptions continue to affect near-term operations, with Iraq remaining under force majeure and pressuring Q2 earnings expectations.</w:t>
      </w:r>
    </w:p>
    <w:p>
      <w:pPr>
        <w:pStyle w:val="Compact"/>
        <w:numPr>
          <w:ilvl w:val="0"/>
          <w:numId w:val="1001"/>
        </w:numPr>
      </w:pPr>
      <w:r>
        <w:t xml:space="preserve">QatarEnergy is preparing to further extend force majeure on liquefied natural gas shipments through mid-October, in a move that would prolong the supply shock that has disrupted the global gas market amid war in the Middle East.</w:t>
      </w:r>
    </w:p>
    <w:p>
      <w:pPr>
        <w:pStyle w:val="Compact"/>
        <w:numPr>
          <w:ilvl w:val="0"/>
          <w:numId w:val="1001"/>
        </w:numPr>
      </w:pPr>
      <w:r>
        <w:t xml:space="preserve">Iraq separately declared force majeure on oilfields tied to Strait of Hormuz disruptions, and geopolitical risk remains elevated: the move from Qatar is expected after hostilities escalated in the Middle East, dampening hopes that supplies from the region will recover anytime soon, as the US and Iran played down the prospect of immediate peace talks.</w:t>
      </w:r>
    </w:p>
    <w:p>
      <w:pPr>
        <w:pStyle w:val="FirstParagraph"/>
      </w:pPr>
      <w:r>
        <w:t xml:space="preserve">This is an important gap versus SLB's own guidance framework — the "recovery gradually beginning mid-quarter" assumption looks optimistic in hindsight, raising the risk that the Middle East EPS drag came in</w:t>
      </w:r>
      <w:r>
        <w:t xml:space="preserve"> </w:t>
      </w:r>
      <w:r>
        <w:rPr>
          <w:b/>
          <w:bCs/>
        </w:rPr>
        <w:t xml:space="preserve">worse</w:t>
      </w:r>
      <w:r>
        <w:t xml:space="preserve"> </w:t>
      </w:r>
      <w:r>
        <w:t xml:space="preserve">than the guided</w:t>
      </w:r>
      <w:r>
        <w:t xml:space="preserve"> </w:t>
      </w:r>
      <m:oMath>
        <m:r>
          <m:t>0.06</m:t>
        </m:r>
        <m:r>
          <m:rPr>
            <m:sty m:val="p"/>
          </m:rPr>
          <m:t>–</m:t>
        </m:r>
      </m:oMath>
      <w:r>
        <w:t xml:space="preserve">0.08, and that the offset from "rest of international" wasn't sufficient.</w:t>
      </w:r>
    </w:p>
    <w:bookmarkEnd w:id="10"/>
    <w:bookmarkStart w:id="11" w:name="X9e9e4032685ee51f63f076cff0e9a2010fc09df"/>
    <w:p>
      <w:pPr>
        <w:pStyle w:val="Heading2"/>
      </w:pPr>
      <w:r>
        <w:t xml:space="preserve">Read-through from Halliburton: a cautionary signal</w:t>
      </w:r>
    </w:p>
    <w:p>
      <w:pPr>
        <w:pStyle w:val="FirstParagraph"/>
      </w:pPr>
      <w:r>
        <w:t xml:space="preserve">Halliburton reported Q2 results on July 21 and it wasn't pretty for the Middle East story. Several firms — including UBS, Citigroup, Barclays, and Morgan Stanley — adjusted price targets lower in July, primarily citing Middle East headwinds and reduced Q2 estimates. Specifically for Halliburton, sales in the Middle East and Asia declined 10% year-over-year to $1.3 billion, driven by lower activity in Kuwait, Iraq, and Qatar due to the war, and the stock fell over 5% even though headline EPS was roughly in line, because operating margins missed. This sets a cautious tone heading into SLB's print, given SLB has comparable — arguably larger — Middle East exposure (Middle East &amp; Asia was ~31% of SLB's Q1 revenue).</w:t>
      </w:r>
    </w:p>
    <w:bookmarkEnd w:id="11"/>
    <w:bookmarkStart w:id="12" w:name="Xc37ee69d701705ed6210445ec94f20af583e536"/>
    <w:p>
      <w:pPr>
        <w:pStyle w:val="Heading2"/>
      </w:pPr>
      <w:r>
        <w:t xml:space="preserve">The offsetting tailwind: oil prices are much higher than a year ago</w:t>
      </w:r>
    </w:p>
    <w:p>
      <w:pPr>
        <w:pStyle w:val="FirstParagraph"/>
      </w:pPr>
      <w:r>
        <w:t xml:space="preserve">The one clear positive backdrop: commodity prices have surged. EIA data show the Cushing, OK WTI spot price averaged $100.32, $102.13 and $84.81 in April, May and June 2026 respectively, significantly higher than $63.54, $62.17 and $68.17 in the same months of 2025 — a year-over-year improvement likely to have increased the pace of drilling activity and created potential tailwinds for SLB's June-quarter performance. Brent has similarly spiked, with reports of crude surging back over $100/barrel and the US drawing down the Strategic Petroleum Reserve to buffer the shock. Higher prices should support activity and pricing in North America, Latin America, and non-conflict international markets, but they cut both ways: SLB flagged on the Q1 call that conflict-related logistics, freight, and petroleum-derived raw material costs (chemicals, etc.) were already inflating its cost base, and that dynamic likely intensified as oil prices moved even higher through Q2.</w:t>
      </w:r>
    </w:p>
    <w:bookmarkEnd w:id="12"/>
    <w:bookmarkStart w:id="13" w:name="Xdc2cc207775dca707c15eefd785156ca5e2ba2b"/>
    <w:p>
      <w:pPr>
        <w:pStyle w:val="Heading2"/>
      </w:pPr>
      <w:r>
        <w:t xml:space="preserve">Structural growth stories to watch beyond the cyclical noise</w:t>
      </w:r>
    </w:p>
    <w:p>
      <w:pPr>
        <w:pStyle w:val="FirstParagraph"/>
      </w:pPr>
      <w:r>
        <w:t xml:space="preserve">Investors should look past the Middle East noise to SLB's three self-described "new horizons of growth," which management has been pushing hard as a re-rating catalyst:</w:t>
      </w:r>
    </w:p>
    <w:p>
      <w:pPr>
        <w:pStyle w:val="BodyText"/>
      </w:pPr>
      <w:r>
        <w:rPr>
          <w:b/>
          <w:bCs/>
        </w:rPr>
        <w:t xml:space="preserve">1. Digital</w:t>
      </w:r>
      <w:r>
        <w:t xml:space="preserve"> </w:t>
      </w:r>
      <w:r>
        <w:t xml:space="preserve">— SLB hosted a Digital Investor Day on June 17 laying out 2030 ambitions: doubling annual recurring revenue to ~$2 billion, roughly doubling adjusted EBITDA to $1.8–2.0 billion, with margins expanding to 38–42%, underpinned by 10–15% revenue CAGR through the decade. In Q1, Digital ARR stood at $1.02 billion, up 15% y/y, and management reiterated a full-year adjusted EBITDA margin target of at least 35% (consistent with 2025), noting margins build seasonally through the year.</w:t>
      </w:r>
    </w:p>
    <w:p>
      <w:pPr>
        <w:pStyle w:val="BodyText"/>
      </w:pPr>
      <w:r>
        <w:rPr>
          <w:b/>
          <w:bCs/>
        </w:rPr>
        <w:t xml:space="preserve">2. Data Center Solutions</w:t>
      </w:r>
      <w:r>
        <w:t xml:space="preserve"> </w:t>
      </w:r>
      <w:r>
        <w:t xml:space="preserve">— This remains the most tangible new growth vector. Q1 revenue grew 45% y/y, and momentum has continued: on July 14, SLB partnered with Liberty Energy to supply modular parts and power to data centers, as the oilfield services firms tap surging demand from the AI boom (SLB handles modular/prefabricated components, Liberty supplies natural-gas power generation). SLB has already shipped more than 1.3 gigawatts of prefabricated modular infrastructure since April 2024 and expects cumulative deliveries to exceed 2 gigawatts globally by year-end 2026. Management has also reiterated ambitions to exit 2026 at a $1 billion run rate in this business, with an NVIDIA DSX AI-factory design partnership adding further visibility.</w:t>
      </w:r>
    </w:p>
    <w:p>
      <w:pPr>
        <w:pStyle w:val="BodyText"/>
      </w:pPr>
      <w:r>
        <w:rPr>
          <w:b/>
          <w:bCs/>
        </w:rPr>
        <w:t xml:space="preserve">3. Production Recovery / ChampionX</w:t>
      </w:r>
      <w:r>
        <w:t xml:space="preserve"> </w:t>
      </w:r>
      <w:r>
        <w:t xml:space="preserve">— ChampionX (closed Q3 2025) continues to be accretive, contributing $838M of revenue and margin uplift in Q1, with synergy capture on track. This is SLB's answer to structurally declining reserve replacement rates and a lever it's pairing with OneSubsea for "life-of-field" services.</w:t>
      </w:r>
    </w:p>
    <w:p>
      <w:pPr>
        <w:pStyle w:val="BodyText"/>
      </w:pPr>
      <w:r>
        <w:rPr>
          <w:b/>
          <w:bCs/>
        </w:rPr>
        <w:t xml:space="preserve">OneSubsea</w:t>
      </w:r>
      <w:r>
        <w:t xml:space="preserve"> </w:t>
      </w:r>
      <w:r>
        <w:t xml:space="preserve">remains a bright spot for the offshore/deepwater cycle, with a prior target of ~$9 billion of order intake over 2026–2027 and continuing contract wins (Malaysia, South China Sea, Norway, Suriname, and a newer Eni Baleine Phase 3 deepwater award offshore Côte d'Ivoire noted in recent coverage), though Q1 OneSubsea margins were weak (14.4% pretax vs. 18.1% a year ago) on program transition timing — watch for confirmation that margins are normalizing as guided.</w:t>
      </w:r>
    </w:p>
    <w:bookmarkEnd w:id="13"/>
    <w:bookmarkStart w:id="14" w:name="capital-returns-and-balance-sheet"/>
    <w:p>
      <w:pPr>
        <w:pStyle w:val="Heading2"/>
      </w:pPr>
      <w:r>
        <w:t xml:space="preserve">Capital returns and balance sheet</w:t>
      </w:r>
    </w:p>
    <w:p>
      <w:pPr>
        <w:pStyle w:val="FirstParagraph"/>
      </w:pPr>
      <w:r>
        <w:t xml:space="preserve">SLB remains committed to returning</w:t>
      </w:r>
      <w:r>
        <w:t xml:space="preserve"> </w:t>
      </w:r>
      <w:r>
        <w:rPr>
          <w:b/>
          <w:bCs/>
        </w:rPr>
        <w:t xml:space="preserve">more than $4 billion to shareholders in 2026</w:t>
      </w:r>
      <w:r>
        <w:t xml:space="preserve"> </w:t>
      </w:r>
      <w:r>
        <w:t xml:space="preserve">(dividends + buybacks), with a minimum $2.4 billion buyback target — in Q1 it repurchased $451 million of stock. Net debt rose to $8.2 billion in Q1 (up from $7.4B) partly reflecting negative free cash flow in the seasonally weak first quarter; SLB also raised</w:t>
      </w:r>
      <w:r>
        <w:t xml:space="preserve"> </w:t>
      </w:r>
      <m:oMath>
        <m:r>
          <m:t>2</m:t>
        </m:r>
        <m:r>
          <m:t>b</m:t>
        </m:r>
        <m:r>
          <m:t>i</m:t>
        </m:r>
        <m:r>
          <m:t>l</m:t>
        </m:r>
        <m:r>
          <m:t>l</m:t>
        </m:r>
        <m:r>
          <m:t>i</m:t>
        </m:r>
        <m:r>
          <m:t>o</m:t>
        </m:r>
        <m:r>
          <m:t>n</m:t>
        </m:r>
        <m:r>
          <m:t>i</m:t>
        </m:r>
        <m:r>
          <m:t>n</m:t>
        </m:r>
        <m:r>
          <m:t>s</m:t>
        </m:r>
        <m:r>
          <m:t>e</m:t>
        </m:r>
        <m:r>
          <m:t>n</m:t>
        </m:r>
        <m:r>
          <m:t>i</m:t>
        </m:r>
        <m:r>
          <m:t>o</m:t>
        </m:r>
        <m:r>
          <m:t>r</m:t>
        </m:r>
        <m:r>
          <m:t>n</m:t>
        </m:r>
        <m:r>
          <m:t>o</m:t>
        </m:r>
        <m:r>
          <m:t>t</m:t>
        </m:r>
        <m:r>
          <m:t>e</m:t>
        </m:r>
        <m:r>
          <m:t>s</m:t>
        </m:r>
        <m:r>
          <m:t>i</m:t>
        </m:r>
        <m:r>
          <m:t>n</m:t>
        </m:r>
        <m:r>
          <m:t>M</m:t>
        </m:r>
        <m:r>
          <m:t>a</m:t>
        </m:r>
        <m:r>
          <m:t>y</m:t>
        </m:r>
        <m:r>
          <m:rPr>
            <m:sty m:val="p"/>
          </m:rPr>
          <m:t>.</m:t>
        </m:r>
        <m:r>
          <m:t>F</m:t>
        </m:r>
        <m:r>
          <m:t>r</m:t>
        </m:r>
        <m:r>
          <m:t>e</m:t>
        </m:r>
        <m:r>
          <m:t>e</m:t>
        </m:r>
        <m:r>
          <m:t>c</m:t>
        </m:r>
        <m:r>
          <m:t>a</m:t>
        </m:r>
        <m:r>
          <m:t>s</m:t>
        </m:r>
        <m:r>
          <m:t>h</m:t>
        </m:r>
        <m:r>
          <m:t>f</m:t>
        </m:r>
        <m:r>
          <m:t>l</m:t>
        </m:r>
        <m:r>
          <m:t>o</m:t>
        </m:r>
        <m:r>
          <m:t>w</m:t>
        </m:r>
        <m:r>
          <m:t>i</m:t>
        </m:r>
        <m:r>
          <m:t>s</m:t>
        </m:r>
        <m:r>
          <m:t>g</m:t>
        </m:r>
        <m:r>
          <m:t>u</m:t>
        </m:r>
        <m:r>
          <m:t>i</m:t>
        </m:r>
        <m:r>
          <m:t>d</m:t>
        </m:r>
        <m:r>
          <m:t>e</m:t>
        </m:r>
        <m:r>
          <m:t>d</m:t>
        </m:r>
        <m:r>
          <m:t>t</m:t>
        </m:r>
        <m:r>
          <m:t>o</m:t>
        </m:r>
        <m:r>
          <m:t>b</m:t>
        </m:r>
        <m:r>
          <m:t>u</m:t>
        </m:r>
        <m:r>
          <m:t>i</m:t>
        </m:r>
        <m:r>
          <m:t>l</m:t>
        </m:r>
        <m:r>
          <m:t>d</m:t>
        </m:r>
        <m:r>
          <m:t>t</m:t>
        </m:r>
        <m:r>
          <m:t>h</m:t>
        </m:r>
        <m:r>
          <m:t>r</m:t>
        </m:r>
        <m:r>
          <m:t>o</m:t>
        </m:r>
        <m:r>
          <m:t>u</m:t>
        </m:r>
        <m:r>
          <m:t>g</m:t>
        </m:r>
        <m:r>
          <m:t>h</m:t>
        </m:r>
        <m:r>
          <m:t>t</m:t>
        </m:r>
        <m:r>
          <m:t>h</m:t>
        </m:r>
        <m:r>
          <m:t>e</m:t>
        </m:r>
        <m:r>
          <m:t>y</m:t>
        </m:r>
        <m:r>
          <m:t>e</m:t>
        </m:r>
        <m:r>
          <m:t>a</m:t>
        </m:r>
        <m:r>
          <m:t>r</m:t>
        </m:r>
        <m:r>
          <m:t>w</m:t>
        </m:r>
        <m:r>
          <m:t>i</m:t>
        </m:r>
        <m:r>
          <m:t>t</m:t>
        </m:r>
        <m:r>
          <m:t>h</m:t>
        </m:r>
        <m:r>
          <m:t>t</m:t>
        </m:r>
        <m:r>
          <m:t>h</m:t>
        </m:r>
        <m:r>
          <m:t>e</m:t>
        </m:r>
        <m:r>
          <m:t>m</m:t>
        </m:r>
        <m:r>
          <m:t>a</m:t>
        </m:r>
        <m:r>
          <m:t>j</m:t>
        </m:r>
        <m:r>
          <m:t>o</m:t>
        </m:r>
        <m:r>
          <m:t>r</m:t>
        </m:r>
        <m:r>
          <m:t>i</m:t>
        </m:r>
        <m:r>
          <m:t>t</m:t>
        </m:r>
        <m:r>
          <m:t>y</m:t>
        </m:r>
        <m:r>
          <m:t>w</m:t>
        </m:r>
        <m:r>
          <m:t>e</m:t>
        </m:r>
        <m:r>
          <m:t>i</m:t>
        </m:r>
        <m:r>
          <m:t>g</m:t>
        </m:r>
        <m:r>
          <m:t>h</m:t>
        </m:r>
        <m:r>
          <m:t>t</m:t>
        </m:r>
        <m:r>
          <m:t>e</m:t>
        </m:r>
        <m:r>
          <m:t>d</m:t>
        </m:r>
        <m:r>
          <m:t>t</m:t>
        </m:r>
        <m:r>
          <m:t>o</m:t>
        </m:r>
        <m:r>
          <m:t>H</m:t>
        </m:r>
        <m:r>
          <m:t>2</m:t>
        </m:r>
        <m:r>
          <m:t>2026</m:t>
        </m:r>
        <m:r>
          <m:rPr>
            <m:sty m:val="p"/>
          </m:rPr>
          <m:t>—</m:t>
        </m:r>
        <m:r>
          <m:t>w</m:t>
        </m:r>
        <m:r>
          <m:t>o</m:t>
        </m:r>
        <m:r>
          <m:t>r</m:t>
        </m:r>
        <m:r>
          <m:t>t</m:t>
        </m:r>
        <m:r>
          <m:t>h</m:t>
        </m:r>
        <m:r>
          <m:t>c</m:t>
        </m:r>
        <m:r>
          <m:t>o</m:t>
        </m:r>
        <m:r>
          <m:t>n</m:t>
        </m:r>
        <m:r>
          <m:t>f</m:t>
        </m:r>
        <m:r>
          <m:t>i</m:t>
        </m:r>
        <m:r>
          <m:t>r</m:t>
        </m:r>
        <m:r>
          <m:t>m</m:t>
        </m:r>
        <m:r>
          <m:t>i</m:t>
        </m:r>
        <m:r>
          <m:t>n</m:t>
        </m:r>
        <m:r>
          <m:t>g</m:t>
        </m:r>
        <m:r>
          <m:t>g</m:t>
        </m:r>
        <m:r>
          <m:t>i</m:t>
        </m:r>
        <m:r>
          <m:t>v</m:t>
        </m:r>
        <m:r>
          <m:t>e</m:t>
        </m:r>
        <m:r>
          <m:t>n</m:t>
        </m:r>
        <m:r>
          <m:t>t</m:t>
        </m:r>
        <m:r>
          <m:t>h</m:t>
        </m:r>
        <m:r>
          <m:t>e</m:t>
        </m:r>
        <m:r>
          <m:t>a</m:t>
        </m:r>
        <m:r>
          <m:t>d</m:t>
        </m:r>
        <m:r>
          <m:t>d</m:t>
        </m:r>
        <m:r>
          <m:t>e</m:t>
        </m:r>
        <m:r>
          <m:t>d</m:t>
        </m:r>
        <m:r>
          <m:t>w</m:t>
        </m:r>
        <m:r>
          <m:t>o</m:t>
        </m:r>
        <m:r>
          <m:t>r</m:t>
        </m:r>
        <m:r>
          <m:t>k</m:t>
        </m:r>
        <m:r>
          <m:t>i</m:t>
        </m:r>
        <m:r>
          <m:t>n</m:t>
        </m:r>
        <m:r>
          <m:t>g</m:t>
        </m:r>
        <m:r>
          <m:rPr>
            <m:sty m:val="p"/>
          </m:rPr>
          <m:t>−</m:t>
        </m:r>
        <m:r>
          <m:t>c</m:t>
        </m:r>
        <m:r>
          <m:t>a</m:t>
        </m:r>
        <m:r>
          <m:t>p</m:t>
        </m:r>
        <m:r>
          <m:t>i</m:t>
        </m:r>
        <m:r>
          <m:t>t</m:t>
        </m:r>
        <m:r>
          <m:t>a</m:t>
        </m:r>
        <m:r>
          <m:t>l</m:t>
        </m:r>
        <m:r>
          <m:t>d</m:t>
        </m:r>
        <m:r>
          <m:t>r</m:t>
        </m:r>
        <m:r>
          <m:t>a</m:t>
        </m:r>
        <m:r>
          <m:t>g</m:t>
        </m:r>
        <m:r>
          <m:t>f</m:t>
        </m:r>
        <m:r>
          <m:t>r</m:t>
        </m:r>
        <m:r>
          <m:t>o</m:t>
        </m:r>
        <m:r>
          <m:t>m</m:t>
        </m:r>
        <m:r>
          <m:t>d</m:t>
        </m:r>
        <m:r>
          <m:t>e</m:t>
        </m:r>
        <m:r>
          <m:t>l</m:t>
        </m:r>
        <m:r>
          <m:t>a</m:t>
        </m:r>
        <m:r>
          <m:t>y</m:t>
        </m:r>
        <m:r>
          <m:t>e</m:t>
        </m:r>
        <m:r>
          <m:t>d</m:t>
        </m:r>
        <m:r>
          <m:t>M</m:t>
        </m:r>
        <m:r>
          <m:t>i</m:t>
        </m:r>
        <m:r>
          <m:t>d</m:t>
        </m:r>
        <m:r>
          <m:t>d</m:t>
        </m:r>
        <m:r>
          <m:t>l</m:t>
        </m:r>
        <m:r>
          <m:t>e</m:t>
        </m:r>
        <m:r>
          <m:t>E</m:t>
        </m:r>
        <m:r>
          <m:t>a</m:t>
        </m:r>
        <m:r>
          <m:t>s</m:t>
        </m:r>
        <m:r>
          <m:t>t</m:t>
        </m:r>
        <m:r>
          <m:t>c</m:t>
        </m:r>
        <m:r>
          <m:t>o</m:t>
        </m:r>
        <m:r>
          <m:t>l</m:t>
        </m:r>
        <m:r>
          <m:t>l</m:t>
        </m:r>
        <m:r>
          <m:t>e</m:t>
        </m:r>
        <m:r>
          <m:t>c</m:t>
        </m:r>
        <m:r>
          <m:t>t</m:t>
        </m:r>
        <m:r>
          <m:t>i</m:t>
        </m:r>
        <m:r>
          <m:t>o</m:t>
        </m:r>
        <m:r>
          <m:t>n</m:t>
        </m:r>
        <m:r>
          <m:t>s</m:t>
        </m:r>
        <m:r>
          <m:t>f</m:t>
        </m:r>
        <m:r>
          <m:t>l</m:t>
        </m:r>
        <m:r>
          <m:t>a</m:t>
        </m:r>
        <m:r>
          <m:t>g</m:t>
        </m:r>
        <m:r>
          <m:t>g</m:t>
        </m:r>
        <m:r>
          <m:t>e</m:t>
        </m:r>
        <m:r>
          <m:t>d</m:t>
        </m:r>
        <m:r>
          <m:t>l</m:t>
        </m:r>
        <m:r>
          <m:t>a</m:t>
        </m:r>
        <m:r>
          <m:t>s</m:t>
        </m:r>
        <m:r>
          <m:t>t</m:t>
        </m:r>
        <m:r>
          <m:t>q</m:t>
        </m:r>
        <m:r>
          <m:t>u</m:t>
        </m:r>
        <m:r>
          <m:t>a</m:t>
        </m:r>
        <m:r>
          <m:t>r</m:t>
        </m:r>
        <m:r>
          <m:t>t</m:t>
        </m:r>
        <m:r>
          <m:t>e</m:t>
        </m:r>
        <m:r>
          <m:t>r</m:t>
        </m:r>
        <m:r>
          <m:rPr>
            <m:sty m:val="p"/>
          </m:rPr>
          <m:t>.</m:t>
        </m:r>
        <m:r>
          <m:t>F</m:t>
        </m:r>
        <m:r>
          <m:t>u</m:t>
        </m:r>
        <m:r>
          <m:t>l</m:t>
        </m:r>
        <m:r>
          <m:t>l</m:t>
        </m:r>
        <m:r>
          <m:rPr>
            <m:sty m:val="p"/>
          </m:rPr>
          <m:t>−</m:t>
        </m:r>
        <m:r>
          <m:t>y</m:t>
        </m:r>
        <m:r>
          <m:t>e</m:t>
        </m:r>
        <m:r>
          <m:t>a</m:t>
        </m:r>
        <m:r>
          <m:t>r</m:t>
        </m:r>
        <m:r>
          <m:t>c</m:t>
        </m:r>
        <m:r>
          <m:t>a</m:t>
        </m:r>
        <m:r>
          <m:t>p</m:t>
        </m:r>
        <m:r>
          <m:t>i</m:t>
        </m:r>
        <m:r>
          <m:t>t</m:t>
        </m:r>
        <m:r>
          <m:t>a</m:t>
        </m:r>
        <m:r>
          <m:t>l</m:t>
        </m:r>
        <m:r>
          <m:t>i</m:t>
        </m:r>
        <m:r>
          <m:t>n</m:t>
        </m:r>
        <m:r>
          <m:t>v</m:t>
        </m:r>
        <m:r>
          <m:t>e</m:t>
        </m:r>
        <m:r>
          <m:t>s</m:t>
        </m:r>
        <m:r>
          <m:t>t</m:t>
        </m:r>
        <m:r>
          <m:t>m</m:t>
        </m:r>
        <m:r>
          <m:t>e</m:t>
        </m:r>
        <m:r>
          <m:t>n</m:t>
        </m:r>
        <m:r>
          <m:t>t</m:t>
        </m:r>
        <m:r>
          <m:t>g</m:t>
        </m:r>
        <m:r>
          <m:t>u</m:t>
        </m:r>
        <m:r>
          <m:t>i</m:t>
        </m:r>
        <m:r>
          <m:t>d</m:t>
        </m:r>
        <m:r>
          <m:t>a</m:t>
        </m:r>
        <m:r>
          <m:t>n</m:t>
        </m:r>
        <m:r>
          <m:t>c</m:t>
        </m:r>
        <m:r>
          <m:t>e</m:t>
        </m:r>
        <m:r>
          <m:t>r</m:t>
        </m:r>
        <m:r>
          <m:t>e</m:t>
        </m:r>
        <m:r>
          <m:t>m</m:t>
        </m:r>
        <m:r>
          <m:t>a</m:t>
        </m:r>
        <m:r>
          <m:t>i</m:t>
        </m:r>
        <m:r>
          <m:t>n</m:t>
        </m:r>
        <m:r>
          <m:t>s</m:t>
        </m:r>
        <m:r>
          <m:t> </m:t>
        </m:r>
      </m:oMath>
      <w:r>
        <w:t xml:space="preserve">2.5 billion.</w:t>
      </w:r>
    </w:p>
    <w:bookmarkEnd w:id="14"/>
    <w:bookmarkStart w:id="15" w:name="valuation-and-sentiment-check"/>
    <w:p>
      <w:pPr>
        <w:pStyle w:val="Heading2"/>
      </w:pPr>
      <w:r>
        <w:t xml:space="preserve">Valuation and sentiment check</w:t>
      </w:r>
    </w:p>
    <w:p>
      <w:pPr>
        <w:pStyle w:val="FirstParagraph"/>
      </w:pPr>
      <w:r>
        <w:t xml:space="preserve">The setup is unusually mixed for SLB heading into a print: the stock has pulled back notably over the past quarter — declining from approximately $52.66 in mid-April — as a combination of Middle East operational disruptions, softening crude oil sentiment tied to U.S.-Iran peace negotiations, and broader energy sector rotation weighed on investor appetite, yet two research analysts have rated the stock Strong Buy, eighteen Buy, two Hold, and one Sell, with an average rating of "Moderate Buy" and a consensus price target of $60.30 — implying meaningful upside if the Middle East overhang clears. At the same time, Zacks currently has SLB at a Zacks Rank #4 (Sell) heading into the print, reflecting the recent negative estimate revisions.</w:t>
      </w:r>
    </w:p>
    <w:bookmarkEnd w:id="15"/>
    <w:bookmarkStart w:id="16" w:name="what-to-listen-for-on-the-call"/>
    <w:p>
      <w:pPr>
        <w:pStyle w:val="Heading2"/>
      </w:pPr>
      <w:r>
        <w:t xml:space="preserve">What to listen for on the call</w:t>
      </w:r>
    </w:p>
    <w:p>
      <w:pPr>
        <w:pStyle w:val="Compact"/>
        <w:numPr>
          <w:ilvl w:val="0"/>
          <w:numId w:val="1002"/>
        </w:numPr>
      </w:pPr>
      <w:r>
        <w:rPr>
          <w:b/>
          <w:bCs/>
        </w:rPr>
        <w:t xml:space="preserve">Actual Middle East drag vs. the</w:t>
      </w:r>
      <w:r>
        <w:rPr>
          <w:b/>
          <w:bCs/>
        </w:rPr>
        <w:t xml:space="preserve"> </w:t>
      </w:r>
      <m:oMath>
        <m:r>
          <m:t>0.06</m:t>
        </m:r>
        <m:r>
          <m:rPr>
            <m:sty m:val="p"/>
          </m:rPr>
          <m:t>–</m:t>
        </m:r>
      </m:oMath>
      <w:r>
        <w:rPr>
          <w:b/>
          <w:bCs/>
        </w:rPr>
        <w:t xml:space="preserve">0.08 guided headwind</w:t>
      </w:r>
      <w:r>
        <w:t xml:space="preserve"> </w:t>
      </w:r>
      <w:r>
        <w:t xml:space="preserve">— did it come in worse given the Qatar/Iraq force-majeure extensions?</w:t>
      </w:r>
    </w:p>
    <w:p>
      <w:pPr>
        <w:pStyle w:val="Compact"/>
        <w:numPr>
          <w:ilvl w:val="0"/>
          <w:numId w:val="1002"/>
        </w:numPr>
      </w:pPr>
      <w:r>
        <w:rPr>
          <w:b/>
          <w:bCs/>
        </w:rPr>
        <w:t xml:space="preserve">Updated recovery timeline</w:t>
      </w:r>
      <w:r>
        <w:t xml:space="preserve"> </w:t>
      </w:r>
      <w:r>
        <w:t xml:space="preserve">— any concrete signs of remobilization in Qatar/Iraq, or has management pushed the "broad-based recovery" narrative further out to 2027–2028?</w:t>
      </w:r>
    </w:p>
    <w:p>
      <w:pPr>
        <w:pStyle w:val="Compact"/>
        <w:numPr>
          <w:ilvl w:val="0"/>
          <w:numId w:val="1002"/>
        </w:numPr>
      </w:pPr>
      <w:r>
        <w:rPr>
          <w:b/>
          <w:bCs/>
        </w:rPr>
        <w:t xml:space="preserve">Margin trajectory</w:t>
      </w:r>
      <w:r>
        <w:t xml:space="preserve"> </w:t>
      </w:r>
      <w:r>
        <w:t xml:space="preserve">— OneSubsea normalization, Digital's seasonal margin build, and whether elevated logistics/raw-material costs (oil-linked inputs) are being successfully passed through via inflation clauses.</w:t>
      </w:r>
    </w:p>
    <w:p>
      <w:pPr>
        <w:pStyle w:val="Compact"/>
        <w:numPr>
          <w:ilvl w:val="0"/>
          <w:numId w:val="1002"/>
        </w:numPr>
      </w:pPr>
      <w:r>
        <w:rPr>
          <w:b/>
          <w:bCs/>
        </w:rPr>
        <w:t xml:space="preserve">Data Center Solutions momentum</w:t>
      </w:r>
      <w:r>
        <w:t xml:space="preserve"> </w:t>
      </w:r>
      <w:r>
        <w:t xml:space="preserve">— initial commentary on the Liberty Energy alliance and progress toward the $1B exit run-rate / 2GW cumulative shipment target.</w:t>
      </w:r>
    </w:p>
    <w:p>
      <w:pPr>
        <w:pStyle w:val="Compact"/>
        <w:numPr>
          <w:ilvl w:val="0"/>
          <w:numId w:val="1002"/>
        </w:numPr>
      </w:pPr>
      <w:r>
        <w:rPr>
          <w:b/>
          <w:bCs/>
        </w:rPr>
        <w:t xml:space="preserve">Capital returns</w:t>
      </w:r>
      <w:r>
        <w:t xml:space="preserve"> </w:t>
      </w:r>
      <w:r>
        <w:t xml:space="preserve">— confirmation of the &gt;$4B 2026 shareholder return target and buyback pace given a weaker free-cash-flow starting point.</w:t>
      </w:r>
    </w:p>
    <w:p>
      <w:pPr>
        <w:pStyle w:val="Compact"/>
        <w:numPr>
          <w:ilvl w:val="0"/>
          <w:numId w:val="1002"/>
        </w:numPr>
      </w:pPr>
      <w:r>
        <w:rPr>
          <w:b/>
          <w:bCs/>
        </w:rPr>
        <w:t xml:space="preserve">Full-year 2026 framework</w:t>
      </w:r>
      <w:r>
        <w:t xml:space="preserve"> </w:t>
      </w:r>
      <w:r>
        <w:t xml:space="preserve">— given the wider-than-expected disruption, does management still see H2 offsetting H1, or is full-year guidance being reset lower?</w:t>
      </w:r>
    </w:p>
    <w:bookmarkEnd w:id="16"/>
    <w:bookmarkStart w:id="17" w:name="bottom-line"/>
    <w:p>
      <w:pPr>
        <w:pStyle w:val="Heading2"/>
      </w:pPr>
      <w:r>
        <w:t xml:space="preserve">Bottom line</w:t>
      </w:r>
    </w:p>
    <w:p>
      <w:pPr>
        <w:pStyle w:val="FirstParagraph"/>
      </w:pPr>
      <w:r>
        <w:t xml:space="preserve">This print is less about the quarter itself — consensus already bakes in a sizable y/y EPS decline — and more about</w:t>
      </w:r>
      <w:r>
        <w:t xml:space="preserve"> </w:t>
      </w:r>
      <w:r>
        <w:rPr>
          <w:b/>
          <w:bCs/>
        </w:rPr>
        <w:t xml:space="preserve">whether the Middle East disruption is stabilizing or still deteriorating</w:t>
      </w:r>
      <w:r>
        <w:t xml:space="preserve">, and whether SLB's structural growth engines (Digital, Data Center Solutions, ChampionX/Production Recovery, OneSubsea) are scaling fast enough to convince investors the multiple deserves to re-rate despite core cyclical weakness. Halliburton's mixed Q2 print and margin miss, combined with the extension of Qatar/Iraq force majeure well beyond SLB's original mid-Q2 recovery assumption, suggest the risk into this print skews toward guidance disappointment on the core oilfield services business, even as the long-term energy-security and digital/data-center narratives remain intact.</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2026-07-24T00:11:11Z</dcterms:created>
  <dcterms:modified xsi:type="dcterms:W3CDTF">2026-07-24T00:11:11Z</dcterms:modified>
</cp:coreProperties>
</file>

<file path=docProps/custom.xml><?xml version="1.0" encoding="utf-8"?>
<Properties xmlns="http://schemas.openxmlformats.org/officeDocument/2006/custom-properties" xmlns:vt="http://schemas.openxmlformats.org/officeDocument/2006/docPropsVTypes"/>
</file>