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slb-q2-2026-earnings-preview"/>
    <w:p>
      <w:pPr>
        <w:pStyle w:val="Heading1"/>
      </w:pPr>
      <w:r>
        <w:t xml:space="preserve">SLB Q2 2026 Earnings Preview</w:t>
      </w:r>
    </w:p>
    <w:p>
      <w:pPr>
        <w:pStyle w:val="BlockText"/>
      </w:pPr>
      <w:r>
        <w:rPr>
          <w:b/>
          <w:bCs/>
        </w:rPr>
        <w:t xml:space="preserve">Timing note:</w:t>
      </w:r>
      <w:r>
        <w:t xml:space="preserve"> </w:t>
      </w:r>
      <w:r>
        <w:t xml:space="preserve">The date provided—</w:t>
      </w:r>
      <w:r>
        <w:rPr>
          <w:b/>
          <w:bCs/>
        </w:rPr>
        <w:t xml:space="preserve">Friday, July 24, 2026—is today, not tomorrow</w:t>
      </w:r>
      <w:r>
        <w:t xml:space="preserve">. SLB is scheduled to issue results at</w:t>
      </w:r>
      <w:r>
        <w:t xml:space="preserve"> </w:t>
      </w:r>
      <w:r>
        <w:rPr>
          <w:b/>
          <w:bCs/>
        </w:rPr>
        <w:t xml:space="preserve">7:00 a.m. ET</w:t>
      </w:r>
      <w:r>
        <w:t xml:space="preserve">, followed by its earnings call at</w:t>
      </w:r>
      <w:r>
        <w:t xml:space="preserve"> </w:t>
      </w:r>
      <w:r>
        <w:rPr>
          <w:b/>
          <w:bCs/>
        </w:rPr>
        <w:t xml:space="preserve">9:30 a.m. ET</w:t>
      </w:r>
      <w:r>
        <w:t xml:space="preserve">. (</w:t>
      </w:r>
      <w:hyperlink r:id="rId9">
        <w:r>
          <w:rPr>
            <w:rStyle w:val="Hyperlink"/>
          </w:rPr>
          <w:t xml:space="preserve">investorcenter.slb.com</w:t>
        </w:r>
      </w:hyperlink>
      <w:r>
        <w:t xml:space="preserve">)</w:t>
      </w:r>
    </w:p>
    <w:bookmarkStart w:id="10" w:name="executive-view"/>
    <w:p>
      <w:pPr>
        <w:pStyle w:val="Heading2"/>
      </w:pPr>
      <w:r>
        <w:t xml:space="preserve">Executive view</w:t>
      </w:r>
    </w:p>
    <w:p>
      <w:pPr>
        <w:pStyle w:val="FirstParagraph"/>
      </w:pPr>
      <w:r>
        <w:t xml:space="preserve">This report is less about whether SLB beats quarterly consensus by a few cents and more about whether management can establish a credible path from a disrupted first half to stronger earnings and cash flow in the second half.</w:t>
      </w:r>
    </w:p>
    <w:p>
      <w:pPr>
        <w:pStyle w:val="BodyText"/>
      </w:pPr>
      <w:r>
        <w:t xml:space="preserve">The central question is:</w:t>
      </w:r>
    </w:p>
    <w:p>
      <w:pPr>
        <w:pStyle w:val="BodyText"/>
      </w:pPr>
      <w:r>
        <w:rPr>
          <w:b/>
          <w:bCs/>
        </w:rPr>
        <w:t xml:space="preserve">Can strength outside the Middle East, ChampionX, Digital, data centers and improving OneSubsea execution offset continued regional disruption and elevated logistics costs?</w:t>
      </w:r>
    </w:p>
    <w:p>
      <w:pPr>
        <w:pStyle w:val="BodyText"/>
      </w:pPr>
      <w:r>
        <w:t xml:space="preserve">Consensus already reflects a subdued quarter, with roughly flat sequential revenue and adjusted EPS. That lowers the bar for the headline results, but the outlook remains unusually uncertain because geopolitical conditions deteriorated again after quarter-end.</w:t>
      </w:r>
    </w:p>
    <w:bookmarkEnd w:id="10"/>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Q1 2026 actual</w:t>
            </w:r>
          </w:p>
        </w:tc>
        <w:tc>
          <w:tcPr/>
          <w:p>
            <w:pPr>
              <w:pStyle w:val="Compact"/>
              <w:jc w:val="right"/>
            </w:pPr>
            <w:r>
              <w:t xml:space="preserve">Q2 2025 actual</w:t>
            </w:r>
          </w:p>
        </w:tc>
        <w:tc>
          <w:tcPr/>
          <w:p>
            <w:pPr>
              <w:pStyle w:val="Compact"/>
              <w:jc w:val="right"/>
            </w:pPr>
            <w:r>
              <w:t xml:space="preserve">Implied change</w:t>
            </w:r>
          </w:p>
        </w:tc>
      </w:tr>
      <w:tr>
        <w:tc>
          <w:tcPr/>
          <w:p>
            <w:pPr>
              <w:pStyle w:val="Compact"/>
            </w:pPr>
            <w:r>
              <w:t xml:space="preserve">Revenue</w:t>
            </w:r>
          </w:p>
        </w:tc>
        <w:tc>
          <w:tcPr/>
          <w:p>
            <w:pPr>
              <w:pStyle w:val="Compact"/>
              <w:jc w:val="right"/>
            </w:pPr>
            <w:r>
              <w:t xml:space="preserve">~</w:t>
            </w:r>
            <m:oMath>
              <m:r>
                <m:t>8.69</m:t>
              </m:r>
              <m:r>
                <m:rPr>
                  <m:sty m:val="p"/>
                </m:rPr>
                <m:t>–</m:t>
              </m:r>
            </m:oMath>
            <w:r>
              <w:t xml:space="preserve">8.71B</w:t>
            </w:r>
          </w:p>
        </w:tc>
        <w:tc>
          <w:tcPr/>
          <w:p>
            <w:pPr>
              <w:pStyle w:val="Compact"/>
              <w:jc w:val="right"/>
            </w:pPr>
            <w:r>
              <w:t xml:space="preserve">$8.72B</w:t>
            </w:r>
          </w:p>
        </w:tc>
        <w:tc>
          <w:tcPr/>
          <w:p>
            <w:pPr>
              <w:pStyle w:val="Compact"/>
              <w:jc w:val="right"/>
            </w:pPr>
            <w:r>
              <w:t xml:space="preserve">$8.55B</w:t>
            </w:r>
          </w:p>
        </w:tc>
        <w:tc>
          <w:tcPr/>
          <w:p>
            <w:pPr>
              <w:pStyle w:val="Compact"/>
              <w:jc w:val="right"/>
            </w:pPr>
            <w:r>
              <w:t xml:space="preserve">Roughly flat QoQ; +2% YoY</w:t>
            </w:r>
          </w:p>
        </w:tc>
      </w:tr>
      <w:tr>
        <w:tc>
          <w:tcPr/>
          <w:p>
            <w:pPr>
              <w:pStyle w:val="Compact"/>
            </w:pPr>
            <w:r>
              <w:t xml:space="preserve">Adjusted EPS</w:t>
            </w:r>
          </w:p>
        </w:tc>
        <w:tc>
          <w:tcPr/>
          <w:p>
            <w:pPr>
              <w:pStyle w:val="Compact"/>
              <w:jc w:val="right"/>
            </w:pPr>
            <w:r>
              <w:t xml:space="preserve">~$0.52</w:t>
            </w:r>
          </w:p>
        </w:tc>
        <w:tc>
          <w:tcPr/>
          <w:p>
            <w:pPr>
              <w:pStyle w:val="Compact"/>
              <w:jc w:val="right"/>
            </w:pPr>
            <w:r>
              <w:t xml:space="preserve">$0.52</w:t>
            </w:r>
          </w:p>
        </w:tc>
        <w:tc>
          <w:tcPr/>
          <w:p>
            <w:pPr>
              <w:pStyle w:val="Compact"/>
              <w:jc w:val="right"/>
            </w:pPr>
            <w:r>
              <w:t xml:space="preserve">$0.74</w:t>
            </w:r>
          </w:p>
        </w:tc>
        <w:tc>
          <w:tcPr/>
          <w:p>
            <w:pPr>
              <w:pStyle w:val="Compact"/>
              <w:jc w:val="right"/>
            </w:pPr>
            <w:r>
              <w:t xml:space="preserve">Flat QoQ; -30% YoY</w:t>
            </w:r>
          </w:p>
        </w:tc>
      </w:tr>
      <w:tr>
        <w:tc>
          <w:tcPr/>
          <w:p>
            <w:pPr>
              <w:pStyle w:val="Compact"/>
            </w:pPr>
            <w:r>
              <w:t xml:space="preserve">Adjusted EBITDA</w:t>
            </w:r>
          </w:p>
        </w:tc>
        <w:tc>
          <w:tcPr/>
          <w:p>
            <w:pPr>
              <w:pStyle w:val="Compact"/>
              <w:jc w:val="right"/>
            </w:pPr>
            <w:r>
              <w:t xml:space="preserve">No reliable public consensus</w:t>
            </w:r>
          </w:p>
        </w:tc>
        <w:tc>
          <w:tcPr/>
          <w:p>
            <w:pPr>
              <w:pStyle w:val="Compact"/>
              <w:jc w:val="right"/>
            </w:pPr>
            <w:r>
              <w:t xml:space="preserve">$1.77B</w:t>
            </w:r>
          </w:p>
        </w:tc>
        <w:tc>
          <w:tcPr/>
          <w:p>
            <w:pPr>
              <w:pStyle w:val="Compact"/>
              <w:jc w:val="right"/>
            </w:pPr>
            <w:r>
              <w:t xml:space="preserve">$2.05B</w:t>
            </w:r>
          </w:p>
        </w:tc>
        <w:tc>
          <w:tcPr/>
          <w:p>
            <w:pPr>
              <w:pStyle w:val="Compact"/>
              <w:jc w:val="right"/>
            </w:pPr>
            <w:r>
              <w:t xml:space="preserve">Margins are the key swing factor</w:t>
            </w:r>
          </w:p>
        </w:tc>
      </w:tr>
      <w:tr>
        <w:tc>
          <w:tcPr/>
          <w:p>
            <w:pPr>
              <w:pStyle w:val="Compact"/>
            </w:pPr>
            <w:r>
              <w:t xml:space="preserve">Free cash flow</w:t>
            </w:r>
          </w:p>
        </w:tc>
        <w:tc>
          <w:tcPr/>
          <w:p>
            <w:pPr>
              <w:pStyle w:val="Compact"/>
              <w:jc w:val="right"/>
            </w:pPr>
            <w:r>
              <w:t xml:space="preserve">—</w:t>
            </w:r>
          </w:p>
        </w:tc>
        <w:tc>
          <w:tcPr/>
          <w:p>
            <w:pPr>
              <w:pStyle w:val="Compact"/>
              <w:jc w:val="right"/>
            </w:pPr>
            <w:r>
              <w:t xml:space="preserve">$(23)M</w:t>
            </w:r>
          </w:p>
        </w:tc>
        <w:tc>
          <w:tcPr/>
          <w:p>
            <w:pPr>
              <w:pStyle w:val="Compact"/>
              <w:jc w:val="right"/>
            </w:pPr>
            <w:r>
              <w:t xml:space="preserve">$622M</w:t>
            </w:r>
          </w:p>
        </w:tc>
        <w:tc>
          <w:tcPr/>
          <w:p>
            <w:pPr>
              <w:pStyle w:val="Compact"/>
              <w:jc w:val="right"/>
            </w:pPr>
            <w:r>
              <w:t xml:space="preserve">Should improve seasonally</w:t>
            </w:r>
          </w:p>
        </w:tc>
      </w:tr>
    </w:tbl>
    <w:p>
      <w:pPr>
        <w:pStyle w:val="BodyText"/>
      </w:pPr>
      <w:r>
        <w:t xml:space="preserve">The current Street estimate is approximately</w:t>
      </w:r>
      <w:r>
        <w:t xml:space="preserve"> </w:t>
      </w:r>
      <w:r>
        <w:rPr>
          <w:b/>
          <w:bCs/>
        </w:rPr>
        <w:t xml:space="preserve">$0.52 of adjusted EPS on $8.7 billion of revenue</w:t>
      </w:r>
      <w:r>
        <w:t xml:space="preserve">. (</w:t>
      </w:r>
      <w:hyperlink r:id="rId11">
        <w:r>
          <w:rPr>
            <w:rStyle w:val="Hyperlink"/>
          </w:rPr>
          <w:t xml:space="preserve">benzinga.com</w:t>
        </w:r>
      </w:hyperlink>
      <w:r>
        <w:t xml:space="preserve">)</w:t>
      </w:r>
    </w:p>
    <w:p>
      <w:pPr>
        <w:pStyle w:val="BodyText"/>
      </w:pPr>
      <w:r>
        <w:t xml:space="preserve">Year-over-year comparisons are distorted by the July 2025 ChampionX acquisition: Q2 2026 includes a full quarter of ChampionX, while Q2 2025 did not. Consequently, modest consolidated revenue growth could coexist with organic declines in parts of the legacy business.</w:t>
      </w:r>
    </w:p>
    <w:bookmarkEnd w:id="12"/>
    <w:bookmarkStart w:id="14" w:name="what-management-previously-guided"/>
    <w:p>
      <w:pPr>
        <w:pStyle w:val="Heading2"/>
      </w:pPr>
      <w:r>
        <w:t xml:space="preserve">What management previously guided</w:t>
      </w:r>
    </w:p>
    <w:p>
      <w:pPr>
        <w:pStyle w:val="FirstParagraph"/>
      </w:pPr>
      <w:r>
        <w:t xml:space="preserve">Following Q1, SLB outlined a scenario in which Middle East disruption persisted through approximately the middle of Q2 and then gradually eased. Under that assumption:</w:t>
      </w:r>
    </w:p>
    <w:p>
      <w:pPr>
        <w:pStyle w:val="Compact"/>
        <w:numPr>
          <w:ilvl w:val="0"/>
          <w:numId w:val="1001"/>
        </w:numPr>
      </w:pPr>
      <w:r>
        <w:t xml:space="preserve">The Middle East would create an</w:t>
      </w:r>
      <w:r>
        <w:t xml:space="preserve"> </w:t>
      </w:r>
      <w:r>
        <w:rPr>
          <w:b/>
          <w:bCs/>
        </w:rPr>
        <w:t xml:space="preserve">incremental</w:t>
      </w:r>
      <w:r>
        <w:rPr>
          <w:b/>
          <w:bCs/>
        </w:rPr>
        <w:t xml:space="preserve"> </w:t>
      </w:r>
      <m:oMath>
        <m:r>
          <m:t>0.06</m:t>
        </m:r>
        <m:r>
          <m:rPr>
            <m:sty m:val="p"/>
          </m:rPr>
          <m:t>–</m:t>
        </m:r>
      </m:oMath>
      <w:r>
        <w:rPr>
          <w:b/>
          <w:bCs/>
        </w:rPr>
        <w:t xml:space="preserve">0.08 EPS headwind</w:t>
      </w:r>
      <w:r>
        <w:t xml:space="preserve"> </w:t>
      </w:r>
      <w:r>
        <w:t xml:space="preserve">versus Q1.</w:t>
      </w:r>
    </w:p>
    <w:p>
      <w:pPr>
        <w:pStyle w:val="Compact"/>
        <w:numPr>
          <w:ilvl w:val="0"/>
          <w:numId w:val="1001"/>
        </w:numPr>
      </w:pPr>
      <w:r>
        <w:t xml:space="preserve">Mid- to high-single-digit growth across other international markets would offset the regional revenue decline.</w:t>
      </w:r>
    </w:p>
    <w:p>
      <w:pPr>
        <w:pStyle w:val="Compact"/>
        <w:numPr>
          <w:ilvl w:val="0"/>
          <w:numId w:val="1001"/>
        </w:numPr>
      </w:pPr>
      <w:r>
        <w:t xml:space="preserve">North American revenue would be approximately flat sequentially.</w:t>
      </w:r>
    </w:p>
    <w:p>
      <w:pPr>
        <w:pStyle w:val="Compact"/>
        <w:numPr>
          <w:ilvl w:val="0"/>
          <w:numId w:val="1001"/>
        </w:numPr>
      </w:pPr>
      <w:r>
        <w:t xml:space="preserve">Digital and Production Systems would grow.</w:t>
      </w:r>
    </w:p>
    <w:p>
      <w:pPr>
        <w:pStyle w:val="Compact"/>
        <w:numPr>
          <w:ilvl w:val="0"/>
          <w:numId w:val="1001"/>
        </w:numPr>
      </w:pPr>
      <w:r>
        <w:t xml:space="preserve">Reservoir Performance and Well Construction would decline.</w:t>
      </w:r>
    </w:p>
    <w:p>
      <w:pPr>
        <w:pStyle w:val="Compact"/>
        <w:numPr>
          <w:ilvl w:val="0"/>
          <w:numId w:val="1001"/>
        </w:numPr>
      </w:pPr>
      <w:r>
        <w:t xml:space="preserve">Total Q2 earnings would be approximately flat with Q1.</w:t>
      </w:r>
    </w:p>
    <w:p>
      <w:pPr>
        <w:pStyle w:val="FirstParagraph"/>
      </w:pPr>
      <w:r>
        <w:t xml:space="preserve">Consensus EPS of $0.52 effectively assumes management delivers that framework.</w:t>
      </w:r>
    </w:p>
    <w:p>
      <w:pPr>
        <w:pStyle w:val="BodyText"/>
      </w:pPr>
      <w:r>
        <w:t xml:space="preserve">The complication is that geopolitical tensions and shipping disruption around the Strait of Hormuz intensified again during July, with Brent reaching roughly $96 on July 23. Because Q2 ended June 30, the latest escalation is primarily a</w:t>
      </w:r>
      <w:r>
        <w:t xml:space="preserve"> </w:t>
      </w:r>
      <w:r>
        <w:rPr>
          <w:b/>
          <w:bCs/>
        </w:rPr>
        <w:t xml:space="preserve">second-half guidance issue</w:t>
      </w:r>
      <w:r>
        <w:t xml:space="preserve">, not a Q2 accounting issue. (</w:t>
      </w:r>
      <w:hyperlink r:id="rId13">
        <w:r>
          <w:rPr>
            <w:rStyle w:val="Hyperlink"/>
          </w:rPr>
          <w:t xml:space="preserve">au.marketscreener.com</w:t>
        </w:r>
      </w:hyperlink>
      <w:r>
        <w:t xml:space="preserve">)</w:t>
      </w:r>
    </w:p>
    <w:bookmarkEnd w:id="14"/>
    <w:bookmarkStart w:id="23" w:name="the-six-issues-that-matter-most"/>
    <w:p>
      <w:pPr>
        <w:pStyle w:val="Heading2"/>
      </w:pPr>
      <w:r>
        <w:t xml:space="preserve">The six issues that matter most</w:t>
      </w:r>
    </w:p>
    <w:bookmarkStart w:id="15" w:name="X6cc7915aa54e052a43874e271c4c824daba9cb5"/>
    <w:p>
      <w:pPr>
        <w:pStyle w:val="Heading3"/>
      </w:pPr>
      <w:r>
        <w:t xml:space="preserve">1. Middle East activity and the second-half recovery</w:t>
      </w:r>
    </w:p>
    <w:p>
      <w:pPr>
        <w:pStyle w:val="FirstParagraph"/>
      </w:pPr>
      <w:r>
        <w:t xml:space="preserve">The Middle East was the largest reason for Q1’s earnings deterioration. Shutdowns, production curtailments and offshore suspensions affected Qatar, Iraq and other regional markets, with the largest pressure falling on Well Construction and Reservoir Performance.</w:t>
      </w:r>
    </w:p>
    <w:p>
      <w:pPr>
        <w:pStyle w:val="BodyText"/>
      </w:pPr>
      <w:r>
        <w:t xml:space="preserve">Investors need management to separate three moving pieces:</w:t>
      </w:r>
    </w:p>
    <w:p>
      <w:pPr>
        <w:pStyle w:val="Compact"/>
        <w:numPr>
          <w:ilvl w:val="0"/>
          <w:numId w:val="1002"/>
        </w:numPr>
      </w:pPr>
      <w:r>
        <w:rPr>
          <w:b/>
          <w:bCs/>
        </w:rPr>
        <w:t xml:space="preserve">Activity lost permanently during Q2</w:t>
      </w:r>
    </w:p>
    <w:p>
      <w:pPr>
        <w:pStyle w:val="Compact"/>
        <w:numPr>
          <w:ilvl w:val="0"/>
          <w:numId w:val="1002"/>
        </w:numPr>
      </w:pPr>
      <w:r>
        <w:rPr>
          <w:b/>
          <w:bCs/>
        </w:rPr>
        <w:t xml:space="preserve">Operations that have resumed or can resume quickly</w:t>
      </w:r>
    </w:p>
    <w:p>
      <w:pPr>
        <w:pStyle w:val="Compact"/>
        <w:numPr>
          <w:ilvl w:val="0"/>
          <w:numId w:val="1002"/>
        </w:numPr>
      </w:pPr>
      <w:r>
        <w:rPr>
          <w:b/>
          <w:bCs/>
        </w:rPr>
        <w:t xml:space="preserve">Incremental intervention and production-recovery work required to restore damaged or abruptly shut-in fields</w:t>
      </w:r>
    </w:p>
    <w:p>
      <w:pPr>
        <w:pStyle w:val="FirstParagraph"/>
      </w:pPr>
      <w:r>
        <w:t xml:space="preserve">The best outcome would be evidence of an uneven but measurable recovery, together with incremental intervention opportunities. The bear case is that the renewed conflict pushes the recovery farther into 2027 while maintaining unusually high logistics, insurance and procurement costs.</w:t>
      </w:r>
    </w:p>
    <w:p>
      <w:pPr>
        <w:pStyle w:val="BodyText"/>
      </w:pPr>
      <w:r>
        <w:t xml:space="preserve">Listen closely for commentary on Qatar, Iraq, Saudi Arabia and Kuwait, as well as whether SLB is retaining idle capacity in anticipation of a rebound.</w:t>
      </w:r>
    </w:p>
    <w:bookmarkEnd w:id="15"/>
    <w:bookmarkStart w:id="16" w:name="X53290f848973a65f780270217b85ecbebbb4e91"/>
    <w:p>
      <w:pPr>
        <w:pStyle w:val="Heading3"/>
      </w:pPr>
      <w:r>
        <w:t xml:space="preserve">2. Margins—not revenue—are the real quarterly test</w:t>
      </w:r>
    </w:p>
    <w:p>
      <w:pPr>
        <w:pStyle w:val="FirstParagraph"/>
      </w:pPr>
      <w:r>
        <w:t xml:space="preserve">Q1 adjusted EBITDA margin fell to</w:t>
      </w:r>
      <w:r>
        <w:t xml:space="preserve"> </w:t>
      </w:r>
      <w:r>
        <w:rPr>
          <w:b/>
          <w:bCs/>
        </w:rPr>
        <w:t xml:space="preserve">20.3%</w:t>
      </w:r>
      <w:r>
        <w:t xml:space="preserve">, versus 24.0% in Q2 2025. The pressure came from:</w:t>
      </w:r>
    </w:p>
    <w:p>
      <w:pPr>
        <w:pStyle w:val="Compact"/>
        <w:numPr>
          <w:ilvl w:val="0"/>
          <w:numId w:val="1003"/>
        </w:numPr>
      </w:pPr>
      <w:r>
        <w:t xml:space="preserve">High decremental margins on lost Middle East revenue</w:t>
      </w:r>
    </w:p>
    <w:p>
      <w:pPr>
        <w:pStyle w:val="Compact"/>
        <w:numPr>
          <w:ilvl w:val="0"/>
          <w:numId w:val="1003"/>
        </w:numPr>
      </w:pPr>
      <w:r>
        <w:t xml:space="preserve">Higher logistics and raw-material costs</w:t>
      </w:r>
    </w:p>
    <w:p>
      <w:pPr>
        <w:pStyle w:val="Compact"/>
        <w:numPr>
          <w:ilvl w:val="0"/>
          <w:numId w:val="1003"/>
        </w:numPr>
      </w:pPr>
      <w:r>
        <w:t xml:space="preserve">Pricing pressure in selected Well Construction markets</w:t>
      </w:r>
    </w:p>
    <w:p>
      <w:pPr>
        <w:pStyle w:val="Compact"/>
        <w:numPr>
          <w:ilvl w:val="0"/>
          <w:numId w:val="1003"/>
        </w:numPr>
      </w:pPr>
      <w:r>
        <w:t xml:space="preserve">OneSubsea project mix and startup costs</w:t>
      </w:r>
    </w:p>
    <w:p>
      <w:pPr>
        <w:pStyle w:val="Compact"/>
        <w:numPr>
          <w:ilvl w:val="0"/>
          <w:numId w:val="1003"/>
        </w:numPr>
      </w:pPr>
      <w:r>
        <w:t xml:space="preserve">SLB’s decision to preserve operational capacity rather than cut costs aggressively</w:t>
      </w:r>
    </w:p>
    <w:p>
      <w:pPr>
        <w:pStyle w:val="FirstParagraph"/>
      </w:pPr>
      <w:r>
        <w:t xml:space="preserve">Flat sequential revenue does not necessarily mean flat profitability. Margins could improve if international growth outside the Middle East carries favorable mix and OneSubsea begins normalizing. Conversely, another quarter near 20% would indicate that elevated costs and unfavorable mix are proving sticky.</w:t>
      </w:r>
    </w:p>
    <w:p>
      <w:pPr>
        <w:pStyle w:val="BodyText"/>
      </w:pPr>
      <w:r>
        <w:rPr>
          <w:b/>
          <w:bCs/>
        </w:rPr>
        <w:t xml:space="preserve">A high-quality result would pair approximately consensus revenue with sequential EBITDA-margin expansion.</w:t>
      </w:r>
    </w:p>
    <w:bookmarkEnd w:id="16"/>
    <w:bookmarkStart w:id="17" w:name="X9c67ebfa3035ec0a844db3c535bb867295373a8"/>
    <w:p>
      <w:pPr>
        <w:pStyle w:val="Heading3"/>
      </w:pPr>
      <w:r>
        <w:t xml:space="preserve">3. ChampionX integration and Production Recovery</w:t>
      </w:r>
    </w:p>
    <w:p>
      <w:pPr>
        <w:pStyle w:val="FirstParagraph"/>
      </w:pPr>
      <w:r>
        <w:t xml:space="preserve">ChampionX contributed approximately</w:t>
      </w:r>
      <w:r>
        <w:t xml:space="preserve"> </w:t>
      </w:r>
      <w:r>
        <w:rPr>
          <w:b/>
          <w:bCs/>
        </w:rPr>
        <w:t xml:space="preserve">$833 million of Q1 revenue</w:t>
      </w:r>
      <w:r>
        <w:t xml:space="preserve"> </w:t>
      </w:r>
      <w:r>
        <w:t xml:space="preserve">and $148 million of pretax operating income. Its production-chemicals and artificial-lift businesses grew approximately 2% on a pro forma basis and were accretive to SLB’s consolidated margins.</w:t>
      </w:r>
    </w:p>
    <w:p>
      <w:pPr>
        <w:pStyle w:val="BodyText"/>
      </w:pPr>
      <w:r>
        <w:t xml:space="preserve">For Q2, investors should look for:</w:t>
      </w:r>
    </w:p>
    <w:p>
      <w:pPr>
        <w:pStyle w:val="Compact"/>
        <w:numPr>
          <w:ilvl w:val="0"/>
          <w:numId w:val="1004"/>
        </w:numPr>
      </w:pPr>
      <w:r>
        <w:t xml:space="preserve">Continued pro forma revenue growth</w:t>
      </w:r>
    </w:p>
    <w:p>
      <w:pPr>
        <w:pStyle w:val="Compact"/>
        <w:numPr>
          <w:ilvl w:val="0"/>
          <w:numId w:val="1004"/>
        </w:numPr>
      </w:pPr>
      <w:r>
        <w:t xml:space="preserve">Higher ChampionX margins</w:t>
      </w:r>
    </w:p>
    <w:p>
      <w:pPr>
        <w:pStyle w:val="Compact"/>
        <w:numPr>
          <w:ilvl w:val="0"/>
          <w:numId w:val="1004"/>
        </w:numPr>
      </w:pPr>
      <w:r>
        <w:t xml:space="preserve">Progress toward cost-synergy targets</w:t>
      </w:r>
    </w:p>
    <w:p>
      <w:pPr>
        <w:pStyle w:val="Compact"/>
        <w:numPr>
          <w:ilvl w:val="0"/>
          <w:numId w:val="1004"/>
        </w:numPr>
      </w:pPr>
      <w:r>
        <w:t xml:space="preserve">Early revenue synergies outside North America</w:t>
      </w:r>
    </w:p>
    <w:p>
      <w:pPr>
        <w:pStyle w:val="Compact"/>
        <w:numPr>
          <w:ilvl w:val="0"/>
          <w:numId w:val="1004"/>
        </w:numPr>
      </w:pPr>
      <w:r>
        <w:t xml:space="preserve">Cross-selling between artificial lift, production chemicals, digital monitoring and SLB reservoir expertise</w:t>
      </w:r>
    </w:p>
    <w:p>
      <w:pPr>
        <w:pStyle w:val="FirstParagraph"/>
      </w:pPr>
      <w:r>
        <w:t xml:space="preserve">ChampionX is central to management’s effort to increase exposure to less cyclical production and recovery spending. If it continues to grow despite weak drilling markets, it strengthens the argument that SLB’s earnings mix is becoming more resilient.</w:t>
      </w:r>
    </w:p>
    <w:bookmarkEnd w:id="17"/>
    <w:bookmarkStart w:id="19" w:name="X5bfd5def87a2c59691dd1f6c55a7b9a17127c2e"/>
    <w:p>
      <w:pPr>
        <w:pStyle w:val="Heading3"/>
      </w:pPr>
      <w:r>
        <w:t xml:space="preserve">4. OneSubsea margin recovery and orders</w:t>
      </w:r>
    </w:p>
    <w:p>
      <w:pPr>
        <w:pStyle w:val="FirstParagraph"/>
      </w:pPr>
      <w:r>
        <w:t xml:space="preserve">OneSubsea’s Q1 pretax margin fell to</w:t>
      </w:r>
      <w:r>
        <w:t xml:space="preserve"> </w:t>
      </w:r>
      <w:r>
        <w:rPr>
          <w:b/>
          <w:bCs/>
        </w:rPr>
        <w:t xml:space="preserve">14.4% from 18.1%</w:t>
      </w:r>
      <w:r>
        <w:t xml:space="preserve"> </w:t>
      </w:r>
      <w:r>
        <w:t xml:space="preserve">a year earlier as several mature programs wound down while new projects incurred startup costs. Management said margins should improve through the remainder of 2026.</w:t>
      </w:r>
    </w:p>
    <w:p>
      <w:pPr>
        <w:pStyle w:val="BodyText"/>
      </w:pPr>
      <w:r>
        <w:t xml:space="preserve">This creates a clear earnings-call checkpoint:</w:t>
      </w:r>
    </w:p>
    <w:p>
      <w:pPr>
        <w:pStyle w:val="Compact"/>
        <w:numPr>
          <w:ilvl w:val="0"/>
          <w:numId w:val="1005"/>
        </w:numPr>
      </w:pPr>
      <w:r>
        <w:t xml:space="preserve">Did OneSubsea margins rise sequentially?</w:t>
      </w:r>
    </w:p>
    <w:p>
      <w:pPr>
        <w:pStyle w:val="Compact"/>
        <w:numPr>
          <w:ilvl w:val="0"/>
          <w:numId w:val="1005"/>
        </w:numPr>
      </w:pPr>
      <w:r>
        <w:t xml:space="preserve">Is the business still on track for approximately 20% EBITDA margins over the cycle?</w:t>
      </w:r>
    </w:p>
    <w:p>
      <w:pPr>
        <w:pStyle w:val="Compact"/>
        <w:numPr>
          <w:ilvl w:val="0"/>
          <w:numId w:val="1005"/>
        </w:numPr>
      </w:pPr>
      <w:r>
        <w:t xml:space="preserve">Does management still see more than $9 billion of cumulative bookings across 2026 and 2027?</w:t>
      </w:r>
    </w:p>
    <w:p>
      <w:pPr>
        <w:pStyle w:val="Compact"/>
        <w:numPr>
          <w:ilvl w:val="0"/>
          <w:numId w:val="1005"/>
        </w:numPr>
      </w:pPr>
      <w:r>
        <w:t xml:space="preserve">Have current geopolitical conditions accelerated or delayed offshore final investment decisions?</w:t>
      </w:r>
    </w:p>
    <w:p>
      <w:pPr>
        <w:pStyle w:val="FirstParagraph"/>
      </w:pPr>
      <w:r>
        <w:t xml:space="preserve">Recent awards—including Eni’s Baleine Phase 3 project offshore Côte d’Ivoire—support the long-term backlog story. (</w:t>
      </w:r>
      <w:hyperlink r:id="rId18">
        <w:r>
          <w:rPr>
            <w:rStyle w:val="Hyperlink"/>
          </w:rPr>
          <w:t xml:space="preserve">investorcenter.slb.com</w:t>
        </w:r>
      </w:hyperlink>
      <w:r>
        <w:t xml:space="preserve">)</w:t>
      </w:r>
    </w:p>
    <w:p>
      <w:pPr>
        <w:pStyle w:val="BodyText"/>
      </w:pPr>
      <w:r>
        <w:t xml:space="preserve">A failure to show sequential margin progress would be a meaningful disappointment because management characterized the Q1 weakness as temporary.</w:t>
      </w:r>
    </w:p>
    <w:bookmarkEnd w:id="19"/>
    <w:bookmarkStart w:id="21" w:name="Xd0d19d7d0ce32aca60446725bb1ce7e832589c8"/>
    <w:p>
      <w:pPr>
        <w:pStyle w:val="Heading3"/>
      </w:pPr>
      <w:r>
        <w:t xml:space="preserve">5. Digital and data centers must begin converting narrative into earnings</w:t>
      </w:r>
    </w:p>
    <w:p>
      <w:pPr>
        <w:pStyle w:val="FirstParagraph"/>
      </w:pPr>
      <w:r>
        <w:t xml:space="preserve">SLB’s June Digital Investor Day established ambitious 2030 goals:</w:t>
      </w:r>
    </w:p>
    <w:p>
      <w:pPr>
        <w:pStyle w:val="Compact"/>
        <w:numPr>
          <w:ilvl w:val="0"/>
          <w:numId w:val="1006"/>
        </w:numPr>
      </w:pPr>
      <w:r>
        <w:t xml:space="preserve">Digital revenue CAGR of</w:t>
      </w:r>
      <w:r>
        <w:t xml:space="preserve"> </w:t>
      </w:r>
      <w:r>
        <w:rPr>
          <w:b/>
          <w:bCs/>
        </w:rPr>
        <w:t xml:space="preserve">10%–15%</w:t>
      </w:r>
    </w:p>
    <w:p>
      <w:pPr>
        <w:pStyle w:val="Compact"/>
        <w:numPr>
          <w:ilvl w:val="0"/>
          <w:numId w:val="1006"/>
        </w:numPr>
      </w:pPr>
      <w:r>
        <w:t xml:space="preserve">Annual recurring revenue approaching</w:t>
      </w:r>
      <w:r>
        <w:t xml:space="preserve"> </w:t>
      </w:r>
      <w:r>
        <w:rPr>
          <w:b/>
          <w:bCs/>
        </w:rPr>
        <w:t xml:space="preserve">$2 billion</w:t>
      </w:r>
    </w:p>
    <w:p>
      <w:pPr>
        <w:pStyle w:val="Compact"/>
        <w:numPr>
          <w:ilvl w:val="0"/>
          <w:numId w:val="1006"/>
        </w:numPr>
      </w:pPr>
      <w:r>
        <w:t xml:space="preserve">Digital adjusted EBITDA of</w:t>
      </w:r>
      <w:r>
        <w:t xml:space="preserve"> </w:t>
      </w:r>
      <m:oMath>
        <m:r>
          <m:t>1.8</m:t>
        </m:r>
        <m:r>
          <m:rPr>
            <m:sty m:val="p"/>
          </m:rPr>
          <m:t>–</m:t>
        </m:r>
      </m:oMath>
      <w:r>
        <w:rPr>
          <w:b/>
          <w:bCs/>
        </w:rPr>
        <w:t xml:space="preserve">2.0 billion</w:t>
      </w:r>
    </w:p>
    <w:p>
      <w:pPr>
        <w:pStyle w:val="Compact"/>
        <w:numPr>
          <w:ilvl w:val="0"/>
          <w:numId w:val="1006"/>
        </w:numPr>
      </w:pPr>
      <w:r>
        <w:t xml:space="preserve">Adjusted EBITDA margins of</w:t>
      </w:r>
      <w:r>
        <w:t xml:space="preserve"> </w:t>
      </w:r>
      <w:r>
        <w:rPr>
          <w:b/>
          <w:bCs/>
        </w:rPr>
        <w:t xml:space="preserve">38%–42%</w:t>
      </w:r>
    </w:p>
    <w:p>
      <w:pPr>
        <w:pStyle w:val="FirstParagraph"/>
      </w:pPr>
      <w:r>
        <w:t xml:space="preserve">Near-term expectations are more modest. Q1 Digital revenue was $640 million, annual recurring revenue reached $1.02 billion, and management reiterated a full-year Digital EBITDA-margin target of at least 35%.</w:t>
      </w:r>
    </w:p>
    <w:p>
      <w:pPr>
        <w:pStyle w:val="BodyText"/>
      </w:pPr>
      <w:r>
        <w:t xml:space="preserve">The Q2 report should show sequential improvement from the seasonally weak first quarter. Investors should focus on Digital Operations, autonomous drilling adoption, subscription and consumption-based revenue, and evidence that AI products are pulling through core services.</w:t>
      </w:r>
    </w:p>
    <w:p>
      <w:pPr>
        <w:pStyle w:val="BodyText"/>
      </w:pPr>
      <w:r>
        <w:t xml:space="preserve">Data Center Solutions is another increasingly visible catalyst. SLB recently formed an alliance with Liberty Energy combining modular infrastructure with behind-the-meter power generation. SLB has shipped more than 1.3 GW of prefabricated infrastructure since April 2024 and expects cumulative deliveries to exceed 2 GW by year-end. (</w:t>
      </w:r>
      <w:hyperlink r:id="rId20">
        <w:r>
          <w:rPr>
            <w:rStyle w:val="Hyperlink"/>
          </w:rPr>
          <w:t xml:space="preserve">slb.com</w:t>
        </w:r>
      </w:hyperlink>
      <w:r>
        <w:t xml:space="preserve">)</w:t>
      </w:r>
    </w:p>
    <w:p>
      <w:pPr>
        <w:pStyle w:val="BodyText"/>
      </w:pPr>
      <w:r>
        <w:t xml:space="preserve">Key questions include:</w:t>
      </w:r>
    </w:p>
    <w:p>
      <w:pPr>
        <w:pStyle w:val="Compact"/>
        <w:numPr>
          <w:ilvl w:val="0"/>
          <w:numId w:val="1007"/>
        </w:numPr>
      </w:pPr>
      <w:r>
        <w:t xml:space="preserve">Is the business still on track to exit 2026 at a</w:t>
      </w:r>
      <w:r>
        <w:t xml:space="preserve"> </w:t>
      </w:r>
      <w:r>
        <w:rPr>
          <w:b/>
          <w:bCs/>
        </w:rPr>
        <w:t xml:space="preserve">$1 billion revenue run rate</w:t>
      </w:r>
      <w:r>
        <w:t xml:space="preserve">?</w:t>
      </w:r>
    </w:p>
    <w:p>
      <w:pPr>
        <w:pStyle w:val="Compact"/>
        <w:numPr>
          <w:ilvl w:val="0"/>
          <w:numId w:val="1007"/>
        </w:numPr>
      </w:pPr>
      <w:r>
        <w:t xml:space="preserve">How much 2027 capacity is already committed?</w:t>
      </w:r>
    </w:p>
    <w:p>
      <w:pPr>
        <w:pStyle w:val="Compact"/>
        <w:numPr>
          <w:ilvl w:val="0"/>
          <w:numId w:val="1007"/>
        </w:numPr>
      </w:pPr>
      <w:r>
        <w:t xml:space="preserve">What margins and working-capital requirements accompany the growth?</w:t>
      </w:r>
    </w:p>
    <w:p>
      <w:pPr>
        <w:pStyle w:val="Compact"/>
        <w:numPr>
          <w:ilvl w:val="0"/>
          <w:numId w:val="1007"/>
        </w:numPr>
      </w:pPr>
      <w:r>
        <w:t xml:space="preserve">When will data centers become material to consolidated EPS?</w:t>
      </w:r>
    </w:p>
    <w:bookmarkEnd w:id="21"/>
    <w:bookmarkStart w:id="22" w:name="X3f809775bd29377f2c77bb3de41fe3923d87025"/>
    <w:p>
      <w:pPr>
        <w:pStyle w:val="Heading3"/>
      </w:pPr>
      <w:r>
        <w:t xml:space="preserve">6. Cash flow, leverage and shareholder returns</w:t>
      </w:r>
    </w:p>
    <w:p>
      <w:pPr>
        <w:pStyle w:val="FirstParagraph"/>
      </w:pPr>
      <w:r>
        <w:t xml:space="preserve">Q1 free cash flow was slightly negative because of annual incentive payments, seasonal working-capital investment and delayed Middle East collections. Net debt ended March at approximately $8.2 billion.</w:t>
      </w:r>
    </w:p>
    <w:p>
      <w:pPr>
        <w:pStyle w:val="BodyText"/>
      </w:pPr>
      <w:r>
        <w:t xml:space="preserve">Management expects cash generation to improve throughout the year and remains committed to:</w:t>
      </w:r>
    </w:p>
    <w:p>
      <w:pPr>
        <w:pStyle w:val="Compact"/>
        <w:numPr>
          <w:ilvl w:val="0"/>
          <w:numId w:val="1008"/>
        </w:numPr>
      </w:pPr>
      <w:r>
        <w:t xml:space="preserve">Approximately</w:t>
      </w:r>
      <w:r>
        <w:t xml:space="preserve"> </w:t>
      </w:r>
      <w:r>
        <w:rPr>
          <w:b/>
          <w:bCs/>
        </w:rPr>
        <w:t xml:space="preserve">$2.5 billion</w:t>
      </w:r>
      <w:r>
        <w:t xml:space="preserve"> </w:t>
      </w:r>
      <w:r>
        <w:t xml:space="preserve">of 2026 capital investment</w:t>
      </w:r>
    </w:p>
    <w:p>
      <w:pPr>
        <w:pStyle w:val="Compact"/>
        <w:numPr>
          <w:ilvl w:val="0"/>
          <w:numId w:val="1008"/>
        </w:numPr>
      </w:pPr>
      <w:r>
        <w:t xml:space="preserve">At least</w:t>
      </w:r>
      <w:r>
        <w:t xml:space="preserve"> </w:t>
      </w:r>
      <w:r>
        <w:rPr>
          <w:b/>
          <w:bCs/>
        </w:rPr>
        <w:t xml:space="preserve">$2.4 billion</w:t>
      </w:r>
      <w:r>
        <w:t xml:space="preserve"> </w:t>
      </w:r>
      <w:r>
        <w:t xml:space="preserve">of share repurchases</w:t>
      </w:r>
    </w:p>
    <w:p>
      <w:pPr>
        <w:pStyle w:val="Compact"/>
        <w:numPr>
          <w:ilvl w:val="0"/>
          <w:numId w:val="1008"/>
        </w:numPr>
      </w:pPr>
      <w:r>
        <w:t xml:space="preserve">More than</w:t>
      </w:r>
      <w:r>
        <w:t xml:space="preserve"> </w:t>
      </w:r>
      <w:r>
        <w:rPr>
          <w:b/>
          <w:bCs/>
        </w:rPr>
        <w:t xml:space="preserve">$4 billion</w:t>
      </w:r>
      <w:r>
        <w:t xml:space="preserve"> </w:t>
      </w:r>
      <w:r>
        <w:t xml:space="preserve">of total shareholder returns</w:t>
      </w:r>
    </w:p>
    <w:p>
      <w:pPr>
        <w:pStyle w:val="FirstParagraph"/>
      </w:pPr>
      <w:r>
        <w:t xml:space="preserve">Q2 should show a meaningful cash-flow recovery. Investors should be cautious if receivables remain elevated or if delayed regional collections prevent the normal seasonal improvement.</w:t>
      </w:r>
    </w:p>
    <w:p>
      <w:pPr>
        <w:pStyle w:val="BodyText"/>
      </w:pPr>
      <w:r>
        <w:t xml:space="preserve">The most important confirmation would be an unchanged buyback commitment despite geopolitical volatility and integration-related demands.</w:t>
      </w:r>
    </w:p>
    <w:bookmarkEnd w:id="22"/>
    <w:bookmarkEnd w:id="23"/>
    <w:bookmarkStart w:id="27" w:name="potential-reaction-framework"/>
    <w:p>
      <w:pPr>
        <w:pStyle w:val="Heading2"/>
      </w:pPr>
      <w:r>
        <w:t xml:space="preserve">Potential reaction framework</w:t>
      </w:r>
    </w:p>
    <w:bookmarkStart w:id="24" w:name="bull-case"/>
    <w:p>
      <w:pPr>
        <w:pStyle w:val="Heading3"/>
      </w:pPr>
      <w:r>
        <w:t xml:space="preserve">Bull case</w:t>
      </w:r>
    </w:p>
    <w:p>
      <w:pPr>
        <w:pStyle w:val="Compact"/>
        <w:numPr>
          <w:ilvl w:val="0"/>
          <w:numId w:val="1009"/>
        </w:numPr>
      </w:pPr>
      <w:r>
        <w:t xml:space="preserve">EPS of $0.54 or better</w:t>
      </w:r>
    </w:p>
    <w:p>
      <w:pPr>
        <w:pStyle w:val="Compact"/>
        <w:numPr>
          <w:ilvl w:val="0"/>
          <w:numId w:val="1009"/>
        </w:numPr>
      </w:pPr>
      <w:r>
        <w:t xml:space="preserve">Revenue above $8.8 billion</w:t>
      </w:r>
    </w:p>
    <w:p>
      <w:pPr>
        <w:pStyle w:val="Compact"/>
        <w:numPr>
          <w:ilvl w:val="0"/>
          <w:numId w:val="1009"/>
        </w:numPr>
      </w:pPr>
      <w:r>
        <w:t xml:space="preserve">Clear sequential EBITDA-margin improvement</w:t>
      </w:r>
    </w:p>
    <w:p>
      <w:pPr>
        <w:pStyle w:val="Compact"/>
        <w:numPr>
          <w:ilvl w:val="0"/>
          <w:numId w:val="1009"/>
        </w:numPr>
      </w:pPr>
      <w:r>
        <w:t xml:space="preserve">OneSubsea margins rebound</w:t>
      </w:r>
    </w:p>
    <w:p>
      <w:pPr>
        <w:pStyle w:val="Compact"/>
        <w:numPr>
          <w:ilvl w:val="0"/>
          <w:numId w:val="1009"/>
        </w:numPr>
      </w:pPr>
      <w:r>
        <w:t xml:space="preserve">ChampionX growth and synergy targets remain on track</w:t>
      </w:r>
    </w:p>
    <w:p>
      <w:pPr>
        <w:pStyle w:val="Compact"/>
        <w:numPr>
          <w:ilvl w:val="0"/>
          <w:numId w:val="1009"/>
        </w:numPr>
      </w:pPr>
      <w:r>
        <w:t xml:space="preserve">Positive free cash flow with better collections</w:t>
      </w:r>
    </w:p>
    <w:p>
      <w:pPr>
        <w:pStyle w:val="Compact"/>
        <w:numPr>
          <w:ilvl w:val="0"/>
          <w:numId w:val="1009"/>
        </w:numPr>
      </w:pPr>
      <w:r>
        <w:t xml:space="preserve">Management maintains or improves its second-half outlook</w:t>
      </w:r>
    </w:p>
    <w:bookmarkEnd w:id="24"/>
    <w:bookmarkStart w:id="25" w:name="base-case"/>
    <w:p>
      <w:pPr>
        <w:pStyle w:val="Heading3"/>
      </w:pPr>
      <w:r>
        <w:t xml:space="preserve">Base case</w:t>
      </w:r>
    </w:p>
    <w:p>
      <w:pPr>
        <w:pStyle w:val="Compact"/>
        <w:numPr>
          <w:ilvl w:val="0"/>
          <w:numId w:val="1010"/>
        </w:numPr>
      </w:pPr>
      <w:r>
        <w:t xml:space="preserve">EPS around</w:t>
      </w:r>
      <w:r>
        <w:t xml:space="preserve"> </w:t>
      </w:r>
      <m:oMath>
        <m:r>
          <m:t>0.51</m:t>
        </m:r>
        <m:r>
          <m:rPr>
            <m:sty m:val="p"/>
          </m:rPr>
          <m:t>–</m:t>
        </m:r>
      </m:oMath>
      <w:r>
        <w:t xml:space="preserve">0.53</w:t>
      </w:r>
    </w:p>
    <w:p>
      <w:pPr>
        <w:pStyle w:val="Compact"/>
        <w:numPr>
          <w:ilvl w:val="0"/>
          <w:numId w:val="1010"/>
        </w:numPr>
      </w:pPr>
      <w:r>
        <w:t xml:space="preserve">Revenue near $8.7 billion</w:t>
      </w:r>
    </w:p>
    <w:p>
      <w:pPr>
        <w:pStyle w:val="Compact"/>
        <w:numPr>
          <w:ilvl w:val="0"/>
          <w:numId w:val="1010"/>
        </w:numPr>
      </w:pPr>
      <w:r>
        <w:t xml:space="preserve">Modest margin improvement</w:t>
      </w:r>
    </w:p>
    <w:p>
      <w:pPr>
        <w:pStyle w:val="Compact"/>
        <w:numPr>
          <w:ilvl w:val="0"/>
          <w:numId w:val="1010"/>
        </w:numPr>
      </w:pPr>
      <w:r>
        <w:t xml:space="preserve">Mixed Middle East recovery</w:t>
      </w:r>
    </w:p>
    <w:p>
      <w:pPr>
        <w:pStyle w:val="Compact"/>
        <w:numPr>
          <w:ilvl w:val="0"/>
          <w:numId w:val="1010"/>
        </w:numPr>
      </w:pPr>
      <w:r>
        <w:t xml:space="preserve">Full-year capital-allocation commitments reaffirmed</w:t>
      </w:r>
    </w:p>
    <w:p>
      <w:pPr>
        <w:pStyle w:val="Compact"/>
        <w:numPr>
          <w:ilvl w:val="0"/>
          <w:numId w:val="1010"/>
        </w:numPr>
      </w:pPr>
      <w:r>
        <w:t xml:space="preserve">Management retains a constructive long-term view but provides a broad Q3 range</w:t>
      </w:r>
    </w:p>
    <w:bookmarkEnd w:id="25"/>
    <w:bookmarkStart w:id="26" w:name="bear-case"/>
    <w:p>
      <w:pPr>
        <w:pStyle w:val="Heading3"/>
      </w:pPr>
      <w:r>
        <w:t xml:space="preserve">Bear case</w:t>
      </w:r>
    </w:p>
    <w:p>
      <w:pPr>
        <w:pStyle w:val="Compact"/>
        <w:numPr>
          <w:ilvl w:val="0"/>
          <w:numId w:val="1011"/>
        </w:numPr>
      </w:pPr>
      <w:r>
        <w:t xml:space="preserve">EPS below $0.49</w:t>
      </w:r>
    </w:p>
    <w:p>
      <w:pPr>
        <w:pStyle w:val="Compact"/>
        <w:numPr>
          <w:ilvl w:val="0"/>
          <w:numId w:val="1011"/>
        </w:numPr>
      </w:pPr>
      <w:r>
        <w:t xml:space="preserve">Revenue below $8.6 billion</w:t>
      </w:r>
    </w:p>
    <w:p>
      <w:pPr>
        <w:pStyle w:val="Compact"/>
        <w:numPr>
          <w:ilvl w:val="0"/>
          <w:numId w:val="1011"/>
        </w:numPr>
      </w:pPr>
      <w:r>
        <w:t xml:space="preserve">Continued margin compression</w:t>
      </w:r>
    </w:p>
    <w:p>
      <w:pPr>
        <w:pStyle w:val="Compact"/>
        <w:numPr>
          <w:ilvl w:val="0"/>
          <w:numId w:val="1011"/>
        </w:numPr>
      </w:pPr>
      <w:r>
        <w:t xml:space="preserve">No meaningful Middle East recovery</w:t>
      </w:r>
    </w:p>
    <w:p>
      <w:pPr>
        <w:pStyle w:val="Compact"/>
        <w:numPr>
          <w:ilvl w:val="0"/>
          <w:numId w:val="1011"/>
        </w:numPr>
      </w:pPr>
      <w:r>
        <w:t xml:space="preserve">OneSubsea margin normalization delayed</w:t>
      </w:r>
    </w:p>
    <w:p>
      <w:pPr>
        <w:pStyle w:val="Compact"/>
        <w:numPr>
          <w:ilvl w:val="0"/>
          <w:numId w:val="1011"/>
        </w:numPr>
      </w:pPr>
      <w:r>
        <w:t xml:space="preserve">Working-capital pressure persists</w:t>
      </w:r>
    </w:p>
    <w:p>
      <w:pPr>
        <w:pStyle w:val="Compact"/>
        <w:numPr>
          <w:ilvl w:val="0"/>
          <w:numId w:val="1011"/>
        </w:numPr>
      </w:pPr>
      <w:r>
        <w:t xml:space="preserve">Management reduces buybacks or signals that 2027—not the second half of 2026—is now the earliest meaningful earnings recovery</w:t>
      </w:r>
    </w:p>
    <w:bookmarkEnd w:id="26"/>
    <w:bookmarkEnd w:id="27"/>
    <w:bookmarkStart w:id="28" w:name="questions-investors-should-want-answered"/>
    <w:p>
      <w:pPr>
        <w:pStyle w:val="Heading2"/>
      </w:pPr>
      <w:r>
        <w:t xml:space="preserve">Questions investors should want answered</w:t>
      </w:r>
    </w:p>
    <w:p>
      <w:pPr>
        <w:pStyle w:val="Compact"/>
        <w:numPr>
          <w:ilvl w:val="0"/>
          <w:numId w:val="1012"/>
        </w:numPr>
      </w:pPr>
      <w:r>
        <w:t xml:space="preserve">How did actual Q2 Middle East disruption compare with the assumed</w:t>
      </w:r>
      <w:r>
        <w:t xml:space="preserve"> </w:t>
      </w:r>
      <m:oMath>
        <m:r>
          <m:t>0.06</m:t>
        </m:r>
        <m:r>
          <m:rPr>
            <m:sty m:val="p"/>
          </m:rPr>
          <m:t>–</m:t>
        </m:r>
      </m:oMath>
      <w:r>
        <w:t xml:space="preserve">0.08 incremental EPS impact?</w:t>
      </w:r>
    </w:p>
    <w:p>
      <w:pPr>
        <w:pStyle w:val="Compact"/>
        <w:numPr>
          <w:ilvl w:val="0"/>
          <w:numId w:val="1012"/>
        </w:numPr>
      </w:pPr>
      <w:r>
        <w:t xml:space="preserve">What activity has resumed, and what portion remains shut down?</w:t>
      </w:r>
    </w:p>
    <w:p>
      <w:pPr>
        <w:pStyle w:val="Compact"/>
        <w:numPr>
          <w:ilvl w:val="0"/>
          <w:numId w:val="1012"/>
        </w:numPr>
      </w:pPr>
      <w:r>
        <w:t xml:space="preserve">What is the Q3 revenue and margin outlook under current geopolitical conditions?</w:t>
      </w:r>
    </w:p>
    <w:p>
      <w:pPr>
        <w:pStyle w:val="Compact"/>
        <w:numPr>
          <w:ilvl w:val="0"/>
          <w:numId w:val="1012"/>
        </w:numPr>
      </w:pPr>
      <w:r>
        <w:t xml:space="preserve">How much inflation and logistics cost has SLB recovered through contract pass-throughs?</w:t>
      </w:r>
    </w:p>
    <w:p>
      <w:pPr>
        <w:pStyle w:val="Compact"/>
        <w:numPr>
          <w:ilvl w:val="0"/>
          <w:numId w:val="1012"/>
        </w:numPr>
      </w:pPr>
      <w:r>
        <w:t xml:space="preserve">Did OneSubsea margins improve sequentially?</w:t>
      </w:r>
    </w:p>
    <w:p>
      <w:pPr>
        <w:pStyle w:val="Compact"/>
        <w:numPr>
          <w:ilvl w:val="0"/>
          <w:numId w:val="1012"/>
        </w:numPr>
      </w:pPr>
      <w:r>
        <w:t xml:space="preserve">What ChampionX synergies have been realized to date?</w:t>
      </w:r>
    </w:p>
    <w:p>
      <w:pPr>
        <w:pStyle w:val="Compact"/>
        <w:numPr>
          <w:ilvl w:val="0"/>
          <w:numId w:val="1012"/>
        </w:numPr>
      </w:pPr>
      <w:r>
        <w:t xml:space="preserve">Is Digital still on track for at least a 35% full-year EBITDA margin?</w:t>
      </w:r>
    </w:p>
    <w:p>
      <w:pPr>
        <w:pStyle w:val="Compact"/>
        <w:numPr>
          <w:ilvl w:val="0"/>
          <w:numId w:val="1012"/>
        </w:numPr>
      </w:pPr>
      <w:r>
        <w:t xml:space="preserve">Is Data Center Solutions still expected to exit 2026 at a $1 billion run rate?</w:t>
      </w:r>
    </w:p>
    <w:p>
      <w:pPr>
        <w:pStyle w:val="Compact"/>
        <w:numPr>
          <w:ilvl w:val="0"/>
          <w:numId w:val="1012"/>
        </w:numPr>
      </w:pPr>
      <w:r>
        <w:t xml:space="preserve">How much free cash flow is now expected in the second half?</w:t>
      </w:r>
    </w:p>
    <w:p>
      <w:pPr>
        <w:pStyle w:val="Compact"/>
        <w:numPr>
          <w:ilvl w:val="0"/>
          <w:numId w:val="1012"/>
        </w:numPr>
      </w:pPr>
      <w:r>
        <w:t xml:space="preserve">Does SLB still expect at least $2.4 billion of 2026 repurchases?</w:t>
      </w:r>
    </w:p>
    <w:bookmarkEnd w:id="28"/>
    <w:bookmarkStart w:id="29" w:name="bottom-line"/>
    <w:p>
      <w:pPr>
        <w:pStyle w:val="Heading2"/>
      </w:pPr>
      <w:r>
        <w:t xml:space="preserve">Bottom line</w:t>
      </w:r>
    </w:p>
    <w:p>
      <w:pPr>
        <w:pStyle w:val="FirstParagraph"/>
      </w:pPr>
      <w:r>
        <w:t xml:space="preserve">Expectations for the reported quarter are restrained: roughly flat sequential revenue and EPS already incorporate significant operational disruption. That makes the</w:t>
      </w:r>
      <w:r>
        <w:t xml:space="preserve"> </w:t>
      </w:r>
      <w:r>
        <w:rPr>
          <w:b/>
          <w:bCs/>
        </w:rPr>
        <w:t xml:space="preserve">forward outlook, margin trajectory and cash conversion</w:t>
      </w:r>
      <w:r>
        <w:t xml:space="preserve"> </w:t>
      </w:r>
      <w:r>
        <w:t xml:space="preserve">more important than the headline beat or miss.</w:t>
      </w:r>
    </w:p>
    <w:p>
      <w:pPr>
        <w:pStyle w:val="BodyText"/>
      </w:pPr>
      <w:r>
        <w:t xml:space="preserve">A result near consensus can be received positively if SLB demonstrates that Middle East weakness is temporary, OneSubsea margins are recovering, ChampionX remains accretive and cash flow is turning upward. Conversely, even a small earnings beat may not be enough if management cannot provide visibility into regional activity or preserve its shareholder-return commitments.</w:t>
      </w:r>
    </w:p>
    <w:p>
      <w:pPr>
        <w:pStyle w:val="BodyText"/>
      </w:pPr>
      <w:r>
        <w:t xml:space="preserve">The cleanest bullish signal would be</w:t>
      </w:r>
      <w:r>
        <w:t xml:space="preserve"> </w:t>
      </w:r>
      <w:r>
        <w:rPr>
          <w:b/>
          <w:bCs/>
        </w:rPr>
        <w:t xml:space="preserve">flat-to-better earnings despite the expected Middle East headwind, followed by guidance for sequential improvement in Q3 and a materially stronger second half</w:t>
      </w:r>
      <w:r>
        <w:t xml:space="preserve">.</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au.marketscreener.com/news/oil-prices-rise-to-six-week-high-as-us-iran-tensions-escalate-ce7f51d9d18eff27?utm_source=openai" TargetMode="External" /><Relationship Type="http://schemas.openxmlformats.org/officeDocument/2006/relationships/hyperlink" Id="rId18" Target="https://investorcenter.slb.com/news-events/news-releases/?utm_source=openai" TargetMode="External" /><Relationship Type="http://schemas.openxmlformats.org/officeDocument/2006/relationships/hyperlink" Id="rId9" Target="https://investorcenter.slb.com/news-releases/news-release-details/slb-announces-date-second-quarter-2026-results-conference-call?utm_source=openai" TargetMode="External" /><Relationship Type="http://schemas.openxmlformats.org/officeDocument/2006/relationships/hyperlink" Id="rId11" Target="https://www.benzinga.com/quote/SLB/earnings?utm_source=openai" TargetMode="External" /><Relationship Type="http://schemas.openxmlformats.org/officeDocument/2006/relationships/hyperlink" Id="rId20" Target="https://www.slb.com/newsroom/press-release/2026/pr-2026-0714-slb-liberty-energy?utm_source=openai" TargetMode="External" /></Relationships>
</file>

<file path=word/_rels/footnotes.xml.rels><?xml version="1.0" encoding="UTF-8"?><Relationships xmlns="http://schemas.openxmlformats.org/package/2006/relationships"><Relationship Type="http://schemas.openxmlformats.org/officeDocument/2006/relationships/hyperlink" Id="rId13" Target="https://au.marketscreener.com/news/oil-prices-rise-to-six-week-high-as-us-iran-tensions-escalate-ce7f51d9d18eff27?utm_source=openai" TargetMode="External" /><Relationship Type="http://schemas.openxmlformats.org/officeDocument/2006/relationships/hyperlink" Id="rId18" Target="https://investorcenter.slb.com/news-events/news-releases/?utm_source=openai" TargetMode="External" /><Relationship Type="http://schemas.openxmlformats.org/officeDocument/2006/relationships/hyperlink" Id="rId9" Target="https://investorcenter.slb.com/news-releases/news-release-details/slb-announces-date-second-quarter-2026-results-conference-call?utm_source=openai" TargetMode="External" /><Relationship Type="http://schemas.openxmlformats.org/officeDocument/2006/relationships/hyperlink" Id="rId11" Target="https://www.benzinga.com/quote/SLB/earnings?utm_source=openai" TargetMode="External" /><Relationship Type="http://schemas.openxmlformats.org/officeDocument/2006/relationships/hyperlink" Id="rId20" Target="https://www.slb.com/newsroom/press-release/2026/pr-2026-0714-slb-liberty-energy?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2026-07-24T00:12:02Z</dcterms:created>
  <dcterms:modified xsi:type="dcterms:W3CDTF">2026-07-24T00:12:02Z</dcterms:modified>
</cp:coreProperties>
</file>

<file path=docProps/custom.xml><?xml version="1.0" encoding="utf-8"?>
<Properties xmlns="http://schemas.openxmlformats.org/officeDocument/2006/custom-properties" xmlns:vt="http://schemas.openxmlformats.org/officeDocument/2006/docPropsVTypes"/>
</file>