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slb-nyse-slb--2q26-earnings-preview"/>
    <w:p>
      <w:pPr>
        <w:pStyle w:val="Heading1"/>
      </w:pPr>
      <w:r>
        <w:t xml:space="preserve">SLB (NYSE: SLB) — 2Q26 Earnings Preview</w:t>
      </w:r>
    </w:p>
    <w:p>
      <w:pPr>
        <w:pStyle w:val="BlockText"/>
      </w:pPr>
      <w:r>
        <w:rPr>
          <w:b/>
          <w:bCs/>
        </w:rPr>
        <w:t xml:space="preserve">Calendar note:</w:t>
      </w:r>
      <w:r>
        <w:t xml:space="preserve"> </w:t>
      </w:r>
      <w:r>
        <w:t xml:space="preserve">The specified report date,</w:t>
      </w:r>
      <w:r>
        <w:t xml:space="preserve"> </w:t>
      </w:r>
      <w:r>
        <w:rPr>
          <w:b/>
          <w:bCs/>
        </w:rPr>
        <w:t xml:space="preserve">July 24, 2026</w:t>
      </w:r>
      <w:r>
        <w:t xml:space="preserve">, is</w:t>
      </w:r>
      <w:r>
        <w:t xml:space="preserve"> </w:t>
      </w:r>
      <w:r>
        <w:rPr>
          <w:b/>
          <w:bCs/>
        </w:rPr>
        <w:t xml:space="preserve">today</w:t>
      </w:r>
      <w:r>
        <w:t xml:space="preserve">, not tomorrow. This preview is therefore framed for the results and call expected on July 24.</w:t>
      </w:r>
    </w:p>
    <w:bookmarkStart w:id="9" w:name="X95c9e21943fa7b3747453220020f7f0eb9ef15a"/>
    <w:p>
      <w:pPr>
        <w:pStyle w:val="Heading2"/>
      </w:pPr>
      <w:r>
        <w:t xml:space="preserve">Investment view: 2Q is about execution through disruption — and the credibility of the recovery setup</w:t>
      </w:r>
    </w:p>
    <w:p>
      <w:pPr>
        <w:pStyle w:val="FirstParagraph"/>
      </w:pPr>
      <w:r>
        <w:t xml:space="preserve">SLB enters 2Q26 earnings with investors focused less on a simple revenue/EPS beat and more on three questions:</w:t>
      </w:r>
    </w:p>
    <w:p>
      <w:pPr>
        <w:pStyle w:val="Compact"/>
        <w:numPr>
          <w:ilvl w:val="0"/>
          <w:numId w:val="1001"/>
        </w:numPr>
      </w:pPr>
      <w:r>
        <w:rPr>
          <w:b/>
          <w:bCs/>
        </w:rPr>
        <w:t xml:space="preserve">How closely did results follow management’s Middle East disruption scenario?</w:t>
      </w:r>
    </w:p>
    <w:p>
      <w:pPr>
        <w:pStyle w:val="Compact"/>
        <w:numPr>
          <w:ilvl w:val="0"/>
          <w:numId w:val="1001"/>
        </w:numPr>
      </w:pPr>
      <w:r>
        <w:rPr>
          <w:b/>
          <w:bCs/>
        </w:rPr>
        <w:t xml:space="preserve">Did margins stabilize despite lost activity, logistics inflation, and OneSubsea project timing?</w:t>
      </w:r>
    </w:p>
    <w:p>
      <w:pPr>
        <w:pStyle w:val="Compact"/>
        <w:numPr>
          <w:ilvl w:val="0"/>
          <w:numId w:val="1001"/>
        </w:numPr>
      </w:pPr>
      <w:r>
        <w:rPr>
          <w:b/>
          <w:bCs/>
        </w:rPr>
        <w:t xml:space="preserve">Can SLB preserve its longer-term growth narrative—offshore/subsea, production recovery, digital, and data-center infrastructure—while near-term geopolitics remain unsettled?</w:t>
      </w:r>
    </w:p>
    <w:p>
      <w:pPr>
        <w:pStyle w:val="FirstParagraph"/>
      </w:pPr>
      <w:r>
        <w:t xml:space="preserve">The stock closed at</w:t>
      </w:r>
      <w:r>
        <w:t xml:space="preserve"> </w:t>
      </w:r>
      <w:r>
        <w:rPr>
          <w:b/>
          <w:bCs/>
        </w:rPr>
        <w:t xml:space="preserve">$47.23 on July 23</w:t>
      </w:r>
      <w:r>
        <w:t xml:space="preserve">, down roughly</w:t>
      </w:r>
      <w:r>
        <w:t xml:space="preserve"> </w:t>
      </w:r>
      <w:r>
        <w:rPr>
          <w:b/>
          <w:bCs/>
        </w:rPr>
        <w:t xml:space="preserve">16% from the April 24 post-1Q earnings close of $56.15</w:t>
      </w:r>
      <w:r>
        <w:t xml:space="preserve">. That decline suggests investors have already discounted considerable uncertainty around the Middle East, oil-market disruption, and the timing of an operational recovery. The earnings setup is therefore likely to be driven by management’s outlook rather than the reported quarter alone.</w:t>
      </w:r>
    </w:p>
    <w:bookmarkEnd w:id="9"/>
    <w:bookmarkStart w:id="10" w:name="Xa8df175857cd311672d178298089d79a59d54ac"/>
    <w:p>
      <w:pPr>
        <w:pStyle w:val="Heading2"/>
      </w:pPr>
      <w:r>
        <w:t xml:space="preserve">What management guided to—and the key benchmark for the print</w:t>
      </w:r>
    </w:p>
    <w:p>
      <w:pPr>
        <w:pStyle w:val="FirstParagraph"/>
      </w:pPr>
      <w:r>
        <w:t xml:space="preserve">In 1Q26, SLB reported:</w:t>
      </w:r>
    </w:p>
    <w:p>
      <w:pPr>
        <w:pStyle w:val="Compact"/>
        <w:numPr>
          <w:ilvl w:val="0"/>
          <w:numId w:val="1002"/>
        </w:numPr>
      </w:pPr>
      <w:r>
        <w:rPr>
          <w:b/>
          <w:bCs/>
        </w:rPr>
        <w:t xml:space="preserve">Revenue:</w:t>
      </w:r>
      <w:r>
        <w:t xml:space="preserve"> </w:t>
      </w:r>
      <w:r>
        <w:rPr>
          <w:b/>
          <w:bCs/>
        </w:rPr>
        <w:t xml:space="preserve">$8.7 billion</w:t>
      </w:r>
    </w:p>
    <w:p>
      <w:pPr>
        <w:pStyle w:val="Compact"/>
        <w:numPr>
          <w:ilvl w:val="0"/>
          <w:numId w:val="1002"/>
        </w:numPr>
      </w:pPr>
      <w:r>
        <w:rPr>
          <w:b/>
          <w:bCs/>
        </w:rPr>
        <w:t xml:space="preserve">Adjusted EPS:</w:t>
      </w:r>
      <w:r>
        <w:t xml:space="preserve"> </w:t>
      </w:r>
      <w:r>
        <w:rPr>
          <w:b/>
          <w:bCs/>
        </w:rPr>
        <w:t xml:space="preserve">$0.52</w:t>
      </w:r>
    </w:p>
    <w:p>
      <w:pPr>
        <w:pStyle w:val="Compact"/>
        <w:numPr>
          <w:ilvl w:val="0"/>
          <w:numId w:val="1002"/>
        </w:numPr>
      </w:pPr>
      <w:r>
        <w:rPr>
          <w:b/>
          <w:bCs/>
        </w:rPr>
        <w:t xml:space="preserve">Adjusted EBITDA margin:</w:t>
      </w:r>
      <w:r>
        <w:t xml:space="preserve"> </w:t>
      </w:r>
      <w:r>
        <w:rPr>
          <w:b/>
          <w:bCs/>
        </w:rPr>
        <w:t xml:space="preserve">20.3%</w:t>
      </w:r>
    </w:p>
    <w:p>
      <w:pPr>
        <w:pStyle w:val="Compact"/>
        <w:numPr>
          <w:ilvl w:val="0"/>
          <w:numId w:val="1002"/>
        </w:numPr>
      </w:pPr>
      <w:r>
        <w:t xml:space="preserve">Revenue declined</w:t>
      </w:r>
      <w:r>
        <w:t xml:space="preserve"> </w:t>
      </w:r>
      <w:r>
        <w:rPr>
          <w:b/>
          <w:bCs/>
        </w:rPr>
        <w:t xml:space="preserve">10.5% sequentially</w:t>
      </w:r>
      <w:r>
        <w:t xml:space="preserve">, with the Middle East conflict accounting for roughly</w:t>
      </w:r>
      <w:r>
        <w:t xml:space="preserve"> </w:t>
      </w:r>
      <w:r>
        <w:rPr>
          <w:b/>
          <w:bCs/>
        </w:rPr>
        <w:t xml:space="preserve">$200 million</w:t>
      </w:r>
      <w:r>
        <w:t xml:space="preserve"> </w:t>
      </w:r>
      <w:r>
        <w:t xml:space="preserve">more revenue pressure than management had expected at the prior earnings call.</w:t>
      </w:r>
    </w:p>
    <w:p>
      <w:pPr>
        <w:pStyle w:val="FirstParagraph"/>
      </w:pPr>
      <w:r>
        <w:t xml:space="preserve">For 2Q, management did not provide conventional point guidance. Instead, it described a scenario in which Middle East operational disruption persisted through roughly the middle of the quarter before gradually easing. In that case:</w:t>
      </w:r>
    </w:p>
    <w:p>
      <w:pPr>
        <w:pStyle w:val="Compact"/>
        <w:numPr>
          <w:ilvl w:val="0"/>
          <w:numId w:val="1003"/>
        </w:numPr>
      </w:pPr>
      <w:r>
        <w:t xml:space="preserve">The Middle East would create an additional</w:t>
      </w:r>
      <w:r>
        <w:t xml:space="preserve"> </w:t>
      </w:r>
      <m:oMath>
        <m:r>
          <m:t>0.06</m:t>
        </m:r>
        <m:r>
          <m:rPr>
            <m:sty m:val="p"/>
          </m:rPr>
          <m:t>–</m:t>
        </m:r>
      </m:oMath>
      <w:r>
        <w:rPr>
          <w:b/>
          <w:bCs/>
        </w:rPr>
        <w:t xml:space="preserve">0.08 EPS headwind versus 1Q</w:t>
      </w:r>
      <w:r>
        <w:t xml:space="preserve">;</w:t>
      </w:r>
    </w:p>
    <w:p>
      <w:pPr>
        <w:pStyle w:val="Compact"/>
        <w:numPr>
          <w:ilvl w:val="0"/>
          <w:numId w:val="1003"/>
        </w:numPr>
      </w:pPr>
      <w:r>
        <w:t xml:space="preserve">That headwind would be</w:t>
      </w:r>
      <w:r>
        <w:t xml:space="preserve"> </w:t>
      </w:r>
      <w:r>
        <w:rPr>
          <w:b/>
          <w:bCs/>
        </w:rPr>
        <w:t xml:space="preserve">fully offset by other international markets</w:t>
      </w:r>
      <w:r>
        <w:t xml:space="preserve">, where SLB expected</w:t>
      </w:r>
      <w:r>
        <w:t xml:space="preserve"> </w:t>
      </w:r>
      <w:r>
        <w:rPr>
          <w:b/>
          <w:bCs/>
        </w:rPr>
        <w:t xml:space="preserve">mid- to high-single-digit sequential revenue growth</w:t>
      </w:r>
      <w:r>
        <w:t xml:space="preserve"> </w:t>
      </w:r>
      <w:r>
        <w:t xml:space="preserve">and better margins;</w:t>
      </w:r>
    </w:p>
    <w:p>
      <w:pPr>
        <w:pStyle w:val="Compact"/>
        <w:numPr>
          <w:ilvl w:val="0"/>
          <w:numId w:val="1003"/>
        </w:numPr>
      </w:pPr>
      <w:r>
        <w:t xml:space="preserve">North America revenue would be</w:t>
      </w:r>
      <w:r>
        <w:t xml:space="preserve"> </w:t>
      </w:r>
      <w:r>
        <w:rPr>
          <w:b/>
          <w:bCs/>
        </w:rPr>
        <w:t xml:space="preserve">roughly flat sequentially</w:t>
      </w:r>
      <w:r>
        <w:t xml:space="preserve">;</w:t>
      </w:r>
    </w:p>
    <w:p>
      <w:pPr>
        <w:pStyle w:val="Compact"/>
        <w:numPr>
          <w:ilvl w:val="0"/>
          <w:numId w:val="1003"/>
        </w:numPr>
      </w:pPr>
      <w:r>
        <w:rPr>
          <w:b/>
          <w:bCs/>
        </w:rPr>
        <w:t xml:space="preserve">Digital</w:t>
      </w:r>
      <w:r>
        <w:t xml:space="preserve"> </w:t>
      </w:r>
      <w:r>
        <w:t xml:space="preserve">and</w:t>
      </w:r>
      <w:r>
        <w:t xml:space="preserve"> </w:t>
      </w:r>
      <w:r>
        <w:rPr>
          <w:b/>
          <w:bCs/>
        </w:rPr>
        <w:t xml:space="preserve">Production Systems</w:t>
      </w:r>
      <w:r>
        <w:t xml:space="preserve"> </w:t>
      </w:r>
      <w:r>
        <w:t xml:space="preserve">would grow globally, while</w:t>
      </w:r>
      <w:r>
        <w:t xml:space="preserve"> </w:t>
      </w:r>
      <w:r>
        <w:rPr>
          <w:b/>
          <w:bCs/>
        </w:rPr>
        <w:t xml:space="preserve">Reservoir Performance</w:t>
      </w:r>
      <w:r>
        <w:t xml:space="preserve"> </w:t>
      </w:r>
      <w:r>
        <w:t xml:space="preserve">and</w:t>
      </w:r>
      <w:r>
        <w:t xml:space="preserve"> </w:t>
      </w:r>
      <w:r>
        <w:rPr>
          <w:b/>
          <w:bCs/>
        </w:rPr>
        <w:t xml:space="preserve">Well Construction</w:t>
      </w:r>
      <w:r>
        <w:t xml:space="preserve"> </w:t>
      </w:r>
      <w:r>
        <w:t xml:space="preserve">would decline.</w:t>
      </w:r>
    </w:p>
    <w:p>
      <w:pPr>
        <w:pStyle w:val="FirstParagraph"/>
      </w:pPr>
      <w:r>
        <w:rPr>
          <w:b/>
          <w:bCs/>
        </w:rPr>
        <w:t xml:space="preserve">The core earnings question:</w:t>
      </w:r>
      <w:r>
        <w:t xml:space="preserve"> </w:t>
      </w:r>
      <w:r>
        <w:t xml:space="preserve">Did SLB deliver approximately stable earnings despite the Middle East drag—as its scenario implied—or did disruptions, logistics costs, and customer delays prove worse than anticipated?</w:t>
      </w:r>
    </w:p>
    <w:bookmarkEnd w:id="10"/>
    <w:bookmarkStart w:id="17" w:name="the-most-important-earnings-variables"/>
    <w:p>
      <w:pPr>
        <w:pStyle w:val="Heading2"/>
      </w:pPr>
      <w:r>
        <w:t xml:space="preserve">The most important earnings variables</w:t>
      </w:r>
    </w:p>
    <w:bookmarkStart w:id="11" w:name="X5da03f8b2e242194042035fa36ba3ca0ffa07e6"/>
    <w:p>
      <w:pPr>
        <w:pStyle w:val="Heading3"/>
      </w:pPr>
      <w:r>
        <w:t xml:space="preserve">1. Middle East activity, recovery timing, and 3Q implications</w:t>
      </w:r>
    </w:p>
    <w:p>
      <w:pPr>
        <w:pStyle w:val="FirstParagraph"/>
      </w:pPr>
      <w:r>
        <w:t xml:space="preserve">This is the dominant issue. SLB has unusually meaningful exposure to the Middle East, which represented about</w:t>
      </w:r>
      <w:r>
        <w:t xml:space="preserve"> </w:t>
      </w:r>
      <w:r>
        <w:rPr>
          <w:b/>
          <w:bCs/>
        </w:rPr>
        <w:t xml:space="preserve">70% of its Middle East &amp; Asia business in 1Q</w:t>
      </w:r>
      <w:r>
        <w:t xml:space="preserve">. The company had indicated that some operations could restart quickly after orderly shut-ins, while other locations could require inspections, intervention work, remobilization, and a more gradual production recovery.</w:t>
      </w:r>
    </w:p>
    <w:p>
      <w:pPr>
        <w:pStyle w:val="BodyText"/>
      </w:pPr>
      <w:r>
        <w:t xml:space="preserve">For 2Q results, investors should listen for:</w:t>
      </w:r>
    </w:p>
    <w:p>
      <w:pPr>
        <w:pStyle w:val="Compact"/>
        <w:numPr>
          <w:ilvl w:val="0"/>
          <w:numId w:val="1004"/>
        </w:numPr>
      </w:pPr>
      <w:r>
        <w:t xml:space="preserve">The actual cadence of activity through April, May, and June;</w:t>
      </w:r>
    </w:p>
    <w:p>
      <w:pPr>
        <w:pStyle w:val="Compact"/>
        <w:numPr>
          <w:ilvl w:val="0"/>
          <w:numId w:val="1004"/>
        </w:numPr>
      </w:pPr>
      <w:r>
        <w:t xml:space="preserve">Whether 2Q disruptions resembled management’s “mid-quarter easing” assumption;</w:t>
      </w:r>
    </w:p>
    <w:p>
      <w:pPr>
        <w:pStyle w:val="Compact"/>
        <w:numPr>
          <w:ilvl w:val="0"/>
          <w:numId w:val="1004"/>
        </w:numPr>
      </w:pPr>
      <w:r>
        <w:t xml:space="preserve">The degree to which delayed collections or operational downtime affected working capital and cash flow;</w:t>
      </w:r>
    </w:p>
    <w:p>
      <w:pPr>
        <w:pStyle w:val="Compact"/>
        <w:numPr>
          <w:ilvl w:val="0"/>
          <w:numId w:val="1004"/>
        </w:numPr>
      </w:pPr>
      <w:r>
        <w:t xml:space="preserve">Whether logistics, freight, chemicals, and petroleum-derived input costs remained elevated;</w:t>
      </w:r>
    </w:p>
    <w:p>
      <w:pPr>
        <w:pStyle w:val="Compact"/>
        <w:numPr>
          <w:ilvl w:val="0"/>
          <w:numId w:val="1004"/>
        </w:numPr>
      </w:pPr>
      <w:r>
        <w:t xml:space="preserve">Most importantly, whether July’s renewed geopolitical escalation changes the expected 3Q trajectory.</w:t>
      </w:r>
    </w:p>
    <w:p>
      <w:pPr>
        <w:pStyle w:val="FirstParagraph"/>
      </w:pPr>
      <w:r>
        <w:t xml:space="preserve">The distinction matters:</w:t>
      </w:r>
      <w:r>
        <w:t xml:space="preserve"> </w:t>
      </w:r>
      <w:r>
        <w:rPr>
          <w:b/>
          <w:bCs/>
        </w:rPr>
        <w:t xml:space="preserve">2Q results cover the April–June period</w:t>
      </w:r>
      <w:r>
        <w:t xml:space="preserve">, whereas the sharp escalation in Strait of Hormuz and regional shipping risks during July is primarily an outlook issue for 3Q and beyond. Investors will likely discount a solid 2Q print if management cannot provide confidence that the recovery path remains intact.</w:t>
      </w:r>
    </w:p>
    <w:bookmarkEnd w:id="11"/>
    <w:bookmarkStart w:id="12" w:name="Xd9b4b53f38504fe1316680f3f662ab1ede4cd93"/>
    <w:p>
      <w:pPr>
        <w:pStyle w:val="Heading3"/>
      </w:pPr>
      <w:r>
        <w:t xml:space="preserve">2. International growth outside the Middle East</w:t>
      </w:r>
    </w:p>
    <w:p>
      <w:pPr>
        <w:pStyle w:val="FirstParagraph"/>
      </w:pPr>
      <w:r>
        <w:t xml:space="preserve">SLB’s 2Q framework relied on the rest of its international portfolio offsetting the Middle East earnings burden. That makes results in Europe/Africa, Latin America, and Asia especially important.</w:t>
      </w:r>
    </w:p>
    <w:p>
      <w:pPr>
        <w:pStyle w:val="BodyText"/>
      </w:pPr>
      <w:r>
        <w:t xml:space="preserve">A favorable print would show:</w:t>
      </w:r>
    </w:p>
    <w:p>
      <w:pPr>
        <w:pStyle w:val="Compact"/>
        <w:numPr>
          <w:ilvl w:val="0"/>
          <w:numId w:val="1005"/>
        </w:numPr>
      </w:pPr>
      <w:r>
        <w:t xml:space="preserve">Mid- to high-single-digit sequential growth outside the affected Middle East markets;</w:t>
      </w:r>
    </w:p>
    <w:p>
      <w:pPr>
        <w:pStyle w:val="Compact"/>
        <w:numPr>
          <w:ilvl w:val="0"/>
          <w:numId w:val="1005"/>
        </w:numPr>
      </w:pPr>
      <w:r>
        <w:t xml:space="preserve">Margin improvement as utilization rises and mix improves;</w:t>
      </w:r>
    </w:p>
    <w:p>
      <w:pPr>
        <w:pStyle w:val="Compact"/>
        <w:numPr>
          <w:ilvl w:val="0"/>
          <w:numId w:val="1005"/>
        </w:numPr>
      </w:pPr>
      <w:r>
        <w:t xml:space="preserve">Continued offshore and deepwater activity in Latin America, Africa, and Asia;</w:t>
      </w:r>
    </w:p>
    <w:p>
      <w:pPr>
        <w:pStyle w:val="Compact"/>
        <w:numPr>
          <w:ilvl w:val="0"/>
          <w:numId w:val="1005"/>
        </w:numPr>
      </w:pPr>
      <w:r>
        <w:t xml:space="preserve">Evidence that higher oil prices and energy-security concerns are translating into increased customer activity, not merely discussion.</w:t>
      </w:r>
    </w:p>
    <w:p>
      <w:pPr>
        <w:pStyle w:val="FirstParagraph"/>
      </w:pPr>
      <w:r>
        <w:t xml:space="preserve">A weaker outcome would suggest that the expected international offset was either too optimistic or delayed by supply-chain issues and customer caution.</w:t>
      </w:r>
    </w:p>
    <w:bookmarkEnd w:id="12"/>
    <w:bookmarkStart w:id="13" w:name="Xc8a4815a2e88c11ed2661304091de809e5b4b4f"/>
    <w:p>
      <w:pPr>
        <w:pStyle w:val="Heading3"/>
      </w:pPr>
      <w:r>
        <w:t xml:space="preserve">3. Margin recovery—especially OneSubsea</w:t>
      </w:r>
    </w:p>
    <w:p>
      <w:pPr>
        <w:pStyle w:val="FirstParagraph"/>
      </w:pPr>
      <w:r>
        <w:t xml:space="preserve">Margins are likely to be at least as important as revenue. In 1Q, SLB’s consolidated adjusted EBITDA margin fell to</w:t>
      </w:r>
      <w:r>
        <w:t xml:space="preserve"> </w:t>
      </w:r>
      <w:r>
        <w:rPr>
          <w:b/>
          <w:bCs/>
        </w:rPr>
        <w:t xml:space="preserve">20.3%</w:t>
      </w:r>
      <w:r>
        <w:t xml:space="preserve">, pressured by high decrementals on lost Middle East revenue, higher procurement/logistics costs, tariffs, project mix, and select pricing headwinds.</w:t>
      </w:r>
    </w:p>
    <w:p>
      <w:pPr>
        <w:pStyle w:val="BodyText"/>
      </w:pPr>
      <w:r>
        <w:t xml:space="preserve">The largest watch item is</w:t>
      </w:r>
      <w:r>
        <w:t xml:space="preserve"> </w:t>
      </w:r>
      <w:r>
        <w:rPr>
          <w:b/>
          <w:bCs/>
        </w:rPr>
        <w:t xml:space="preserve">OneSubsea</w:t>
      </w:r>
      <w:r>
        <w:t xml:space="preserve">:</w:t>
      </w:r>
    </w:p>
    <w:p>
      <w:pPr>
        <w:pStyle w:val="Compact"/>
        <w:numPr>
          <w:ilvl w:val="0"/>
          <w:numId w:val="1006"/>
        </w:numPr>
      </w:pPr>
      <w:r>
        <w:t xml:space="preserve">1Q pretax operating margin was</w:t>
      </w:r>
      <w:r>
        <w:t xml:space="preserve"> </w:t>
      </w:r>
      <w:r>
        <w:rPr>
          <w:b/>
          <w:bCs/>
        </w:rPr>
        <w:t xml:space="preserve">14.4%</w:t>
      </w:r>
      <w:r>
        <w:t xml:space="preserve">, versus</w:t>
      </w:r>
      <w:r>
        <w:t xml:space="preserve"> </w:t>
      </w:r>
      <w:r>
        <w:rPr>
          <w:b/>
          <w:bCs/>
        </w:rPr>
        <w:t xml:space="preserve">18.1%</w:t>
      </w:r>
      <w:r>
        <w:t xml:space="preserve"> </w:t>
      </w:r>
      <w:r>
        <w:t xml:space="preserve">in 1Q25.</w:t>
      </w:r>
    </w:p>
    <w:p>
      <w:pPr>
        <w:pStyle w:val="Compact"/>
        <w:numPr>
          <w:ilvl w:val="0"/>
          <w:numId w:val="1006"/>
        </w:numPr>
      </w:pPr>
      <w:r>
        <w:t xml:space="preserve">Management attributed the weakness largely to concurrent wind-downs of several large programs and start-up costs on new projects.</w:t>
      </w:r>
    </w:p>
    <w:p>
      <w:pPr>
        <w:pStyle w:val="Compact"/>
        <w:numPr>
          <w:ilvl w:val="0"/>
          <w:numId w:val="1006"/>
        </w:numPr>
      </w:pPr>
      <w:r>
        <w:t xml:space="preserve">SLB expected OneSubsea margins to improve through the remainder of 2026.</w:t>
      </w:r>
    </w:p>
    <w:p>
      <w:pPr>
        <w:pStyle w:val="FirstParagraph"/>
      </w:pPr>
      <w:r>
        <w:t xml:space="preserve">A visible sequential margin step-up would support the argument that 1Q was a timing-driven trough. Conversely, another weak OneSubsea result would raise concerns about execution, project mix, and the pace at which a strengthening offshore award cycle can convert into profitable revenue.</w:t>
      </w:r>
    </w:p>
    <w:bookmarkEnd w:id="13"/>
    <w:bookmarkStart w:id="14" w:name="X3cb256c34f09d5423b844aca22f4dd4e747e851"/>
    <w:p>
      <w:pPr>
        <w:pStyle w:val="Heading3"/>
      </w:pPr>
      <w:r>
        <w:t xml:space="preserve">4. ChampionX integration and production recovery</w:t>
      </w:r>
    </w:p>
    <w:p>
      <w:pPr>
        <w:pStyle w:val="FirstParagraph"/>
      </w:pPr>
      <w:r>
        <w:t xml:space="preserve">Production Systems is now more important to the SLB story following the ChampionX acquisition. In 1Q:</w:t>
      </w:r>
    </w:p>
    <w:p>
      <w:pPr>
        <w:pStyle w:val="Compact"/>
        <w:numPr>
          <w:ilvl w:val="0"/>
          <w:numId w:val="1007"/>
        </w:numPr>
      </w:pPr>
      <w:r>
        <w:t xml:space="preserve">Production Systems revenue rose</w:t>
      </w:r>
      <w:r>
        <w:t xml:space="preserve"> </w:t>
      </w:r>
      <w:r>
        <w:rPr>
          <w:b/>
          <w:bCs/>
        </w:rPr>
        <w:t xml:space="preserve">23% year over year</w:t>
      </w:r>
      <w:r>
        <w:t xml:space="preserve">, although it declined</w:t>
      </w:r>
      <w:r>
        <w:t xml:space="preserve"> </w:t>
      </w:r>
      <w:r>
        <w:rPr>
          <w:b/>
          <w:bCs/>
        </w:rPr>
        <w:t xml:space="preserve">6% excluding ChampionX</w:t>
      </w:r>
      <w:r>
        <w:t xml:space="preserve">;</w:t>
      </w:r>
    </w:p>
    <w:p>
      <w:pPr>
        <w:pStyle w:val="Compact"/>
        <w:numPr>
          <w:ilvl w:val="0"/>
          <w:numId w:val="1007"/>
        </w:numPr>
      </w:pPr>
      <w:r>
        <w:t xml:space="preserve">On a pro forma basis, ChampionX’s production chemicals and artificial-lift businesses grew</w:t>
      </w:r>
      <w:r>
        <w:t xml:space="preserve"> </w:t>
      </w:r>
      <w:r>
        <w:rPr>
          <w:b/>
          <w:bCs/>
        </w:rPr>
        <w:t xml:space="preserve">2% year over year</w:t>
      </w:r>
      <w:r>
        <w:t xml:space="preserve">;</w:t>
      </w:r>
    </w:p>
    <w:p>
      <w:pPr>
        <w:pStyle w:val="Compact"/>
        <w:numPr>
          <w:ilvl w:val="0"/>
          <w:numId w:val="1007"/>
        </w:numPr>
      </w:pPr>
      <w:r>
        <w:t xml:space="preserve">Management said ChampionX was margin-accretive and that integration synergies remained on track.</w:t>
      </w:r>
    </w:p>
    <w:p>
      <w:pPr>
        <w:pStyle w:val="FirstParagraph"/>
      </w:pPr>
      <w:r>
        <w:t xml:space="preserve">Investors should look for further proof that ChampionX is doing more than adding acquired revenue. The strategic opportunity is to pair artificial lift, production chemicals, digital capabilities, and subsurface expertise to increase recovery from mature assets and to support production restoration following shut-ins.</w:t>
      </w:r>
    </w:p>
    <w:p>
      <w:pPr>
        <w:pStyle w:val="BodyText"/>
      </w:pPr>
      <w:r>
        <w:t xml:space="preserve">This business could become especially valuable if customers prioritize</w:t>
      </w:r>
      <w:r>
        <w:t xml:space="preserve"> </w:t>
      </w:r>
      <w:r>
        <w:rPr>
          <w:b/>
          <w:bCs/>
        </w:rPr>
        <w:t xml:space="preserve">fast-cycle production recovery</w:t>
      </w:r>
      <w:r>
        <w:t xml:space="preserve"> </w:t>
      </w:r>
      <w:r>
        <w:t xml:space="preserve">over longer-cycle greenfield spending.</w:t>
      </w:r>
    </w:p>
    <w:bookmarkEnd w:id="14"/>
    <w:bookmarkStart w:id="15" w:name="Xbce3f58fe996da313b280eb672f7876a1d9cf1a"/>
    <w:p>
      <w:pPr>
        <w:pStyle w:val="Heading3"/>
      </w:pPr>
      <w:r>
        <w:t xml:space="preserve">5. Digital: durable growth and a higher-quality earnings mix</w:t>
      </w:r>
    </w:p>
    <w:p>
      <w:pPr>
        <w:pStyle w:val="FirstParagraph"/>
      </w:pPr>
      <w:r>
        <w:t xml:space="preserve">Digital remains SLB’s clearest route to a less cyclical, more recurring, and more margin-accretive business mix.</w:t>
      </w:r>
    </w:p>
    <w:p>
      <w:pPr>
        <w:pStyle w:val="BodyText"/>
      </w:pPr>
      <w:r>
        <w:t xml:space="preserve">In 1Q, Digital delivered:</w:t>
      </w:r>
    </w:p>
    <w:p>
      <w:pPr>
        <w:pStyle w:val="Compact"/>
        <w:numPr>
          <w:ilvl w:val="0"/>
          <w:numId w:val="1008"/>
        </w:numPr>
      </w:pPr>
      <w:r>
        <w:rPr>
          <w:b/>
          <w:bCs/>
        </w:rPr>
        <w:t xml:space="preserve">$640 million</w:t>
      </w:r>
      <w:r>
        <w:t xml:space="preserve"> </w:t>
      </w:r>
      <w:r>
        <w:t xml:space="preserve">in revenue, up</w:t>
      </w:r>
      <w:r>
        <w:t xml:space="preserve"> </w:t>
      </w:r>
      <w:r>
        <w:rPr>
          <w:b/>
          <w:bCs/>
        </w:rPr>
        <w:t xml:space="preserve">9% year over year</w:t>
      </w:r>
      <w:r>
        <w:t xml:space="preserve">;</w:t>
      </w:r>
    </w:p>
    <w:p>
      <w:pPr>
        <w:pStyle w:val="Compact"/>
        <w:numPr>
          <w:ilvl w:val="0"/>
          <w:numId w:val="1008"/>
        </w:numPr>
      </w:pPr>
      <w:r>
        <w:rPr>
          <w:b/>
          <w:bCs/>
        </w:rPr>
        <w:t xml:space="preserve">$1.02 billion</w:t>
      </w:r>
      <w:r>
        <w:t xml:space="preserve"> </w:t>
      </w:r>
      <w:r>
        <w:t xml:space="preserve">in annual recurring revenue, up</w:t>
      </w:r>
      <w:r>
        <w:t xml:space="preserve"> </w:t>
      </w:r>
      <w:r>
        <w:rPr>
          <w:b/>
          <w:bCs/>
        </w:rPr>
        <w:t xml:space="preserve">15% year over year</w:t>
      </w:r>
      <w:r>
        <w:t xml:space="preserve">;</w:t>
      </w:r>
    </w:p>
    <w:p>
      <w:pPr>
        <w:pStyle w:val="Compact"/>
        <w:numPr>
          <w:ilvl w:val="0"/>
          <w:numId w:val="1008"/>
        </w:numPr>
      </w:pPr>
      <w:r>
        <w:rPr>
          <w:b/>
          <w:bCs/>
        </w:rPr>
        <w:t xml:space="preserve">87% growth</w:t>
      </w:r>
      <w:r>
        <w:t xml:space="preserve"> </w:t>
      </w:r>
      <w:r>
        <w:t xml:space="preserve">in Digital Operations;</w:t>
      </w:r>
    </w:p>
    <w:p>
      <w:pPr>
        <w:pStyle w:val="Compact"/>
        <w:numPr>
          <w:ilvl w:val="0"/>
          <w:numId w:val="1008"/>
        </w:numPr>
      </w:pPr>
      <w:r>
        <w:t xml:space="preserve">A commitment to at least match the</w:t>
      </w:r>
      <w:r>
        <w:t xml:space="preserve"> </w:t>
      </w:r>
      <w:r>
        <w:rPr>
          <w:b/>
          <w:bCs/>
        </w:rPr>
        <w:t xml:space="preserve">35% full-year adjusted EBITDA margin</w:t>
      </w:r>
      <w:r>
        <w:t xml:space="preserve"> </w:t>
      </w:r>
      <w:r>
        <w:t xml:space="preserve">achieved in 2025, despite seasonally weak 1Q profitability.</w:t>
      </w:r>
    </w:p>
    <w:p>
      <w:pPr>
        <w:pStyle w:val="FirstParagraph"/>
      </w:pPr>
      <w:r>
        <w:t xml:space="preserve">At its June Digital Investor Day, SLB outlined ambitions for Digital revenue to grow at a</w:t>
      </w:r>
      <w:r>
        <w:t xml:space="preserve"> </w:t>
      </w:r>
      <w:r>
        <w:rPr>
          <w:b/>
          <w:bCs/>
        </w:rPr>
        <w:t xml:space="preserve">10%–15% CAGR through 2030</w:t>
      </w:r>
      <w:r>
        <w:t xml:space="preserve">, annual recurring revenue to reach roughly</w:t>
      </w:r>
      <w:r>
        <w:t xml:space="preserve"> </w:t>
      </w:r>
      <w:r>
        <w:rPr>
          <w:b/>
          <w:bCs/>
        </w:rPr>
        <w:t xml:space="preserve">$2 billion</w:t>
      </w:r>
      <w:r>
        <w:t xml:space="preserve">, and adjusted EBITDA margins to expand toward</w:t>
      </w:r>
      <w:r>
        <w:t xml:space="preserve"> </w:t>
      </w:r>
      <w:r>
        <w:rPr>
          <w:b/>
          <w:bCs/>
        </w:rPr>
        <w:t xml:space="preserve">38%–42%</w:t>
      </w:r>
      <w:r>
        <w:t xml:space="preserve">.</w:t>
      </w:r>
    </w:p>
    <w:p>
      <w:pPr>
        <w:pStyle w:val="BodyText"/>
      </w:pPr>
      <w:r>
        <w:t xml:space="preserve">The immediate 2Q watch items are:</w:t>
      </w:r>
    </w:p>
    <w:p>
      <w:pPr>
        <w:pStyle w:val="Compact"/>
        <w:numPr>
          <w:ilvl w:val="0"/>
          <w:numId w:val="1009"/>
        </w:numPr>
      </w:pPr>
      <w:r>
        <w:t xml:space="preserve">Whether recurring revenue and Digital Operations continue to grow faster than the broader company;</w:t>
      </w:r>
    </w:p>
    <w:p>
      <w:pPr>
        <w:pStyle w:val="Compact"/>
        <w:numPr>
          <w:ilvl w:val="0"/>
          <w:numId w:val="1009"/>
        </w:numPr>
      </w:pPr>
      <w:r>
        <w:t xml:space="preserve">The rate of AI, automation, and outcome-based pricing adoption;</w:t>
      </w:r>
    </w:p>
    <w:p>
      <w:pPr>
        <w:pStyle w:val="Compact"/>
        <w:numPr>
          <w:ilvl w:val="0"/>
          <w:numId w:val="1009"/>
        </w:numPr>
      </w:pPr>
      <w:r>
        <w:t xml:space="preserve">Whether Digital margin begins its expected seasonal progression after a weak first quarter;</w:t>
      </w:r>
    </w:p>
    <w:p>
      <w:pPr>
        <w:pStyle w:val="Compact"/>
        <w:numPr>
          <w:ilvl w:val="0"/>
          <w:numId w:val="1009"/>
        </w:numPr>
      </w:pPr>
      <w:r>
        <w:t xml:space="preserve">Any progress in the S&amp;P Global Energy software acquisition and associated AI/data partnership.</w:t>
      </w:r>
    </w:p>
    <w:p>
      <w:pPr>
        <w:pStyle w:val="FirstParagraph"/>
      </w:pPr>
      <w:r>
        <w:t xml:space="preserve">Digital is still small relative to SLB’s total revenue base, but its growth and margin profile increasingly influence the quality of the overall investment case.</w:t>
      </w:r>
    </w:p>
    <w:bookmarkEnd w:id="15"/>
    <w:bookmarkStart w:id="16" w:name="X1db77d0e0d5da2ca9396194c4901127d7efc9ee"/>
    <w:p>
      <w:pPr>
        <w:pStyle w:val="Heading3"/>
      </w:pPr>
      <w:r>
        <w:t xml:space="preserve">6. Data centers: compelling optionality, but investors need tangible milestones</w:t>
      </w:r>
    </w:p>
    <w:p>
      <w:pPr>
        <w:pStyle w:val="FirstParagraph"/>
      </w:pPr>
      <w:r>
        <w:t xml:space="preserve">SLB has positioned modular data-center infrastructure as a new growth platform adjacent to its core engineering and manufacturing capabilities. Management has targeted a</w:t>
      </w:r>
      <w:r>
        <w:t xml:space="preserve"> </w:t>
      </w:r>
      <w:r>
        <w:rPr>
          <w:b/>
          <w:bCs/>
        </w:rPr>
        <w:t xml:space="preserve">$1 billion annualized revenue run rate exiting 2026</w:t>
      </w:r>
      <w:r>
        <w:t xml:space="preserve">.</w:t>
      </w:r>
    </w:p>
    <w:p>
      <w:pPr>
        <w:pStyle w:val="BodyText"/>
      </w:pPr>
      <w:r>
        <w:t xml:space="preserve">The July 14 alliance with Liberty Energy adds another tangible step: SLB will provide modular and prefabricated data-center components, while Liberty supplies natural-gas-fired generation. SLB has said it has shipped more than</w:t>
      </w:r>
      <w:r>
        <w:t xml:space="preserve"> </w:t>
      </w:r>
      <w:r>
        <w:rPr>
          <w:b/>
          <w:bCs/>
        </w:rPr>
        <w:t xml:space="preserve">1.3 GW</w:t>
      </w:r>
      <w:r>
        <w:t xml:space="preserve"> </w:t>
      </w:r>
      <w:r>
        <w:t xml:space="preserve">of prefabricated modular infrastructure since April 2024 and expects cumulative deliveries to exceed</w:t>
      </w:r>
      <w:r>
        <w:t xml:space="preserve"> </w:t>
      </w:r>
      <w:r>
        <w:rPr>
          <w:b/>
          <w:bCs/>
        </w:rPr>
        <w:t xml:space="preserve">2 GW by year-end</w:t>
      </w:r>
      <w:r>
        <w:t xml:space="preserve">.</w:t>
      </w:r>
    </w:p>
    <w:p>
      <w:pPr>
        <w:pStyle w:val="BodyText"/>
      </w:pPr>
      <w:r>
        <w:t xml:space="preserve">The opportunity is strategically interesting, but it will remain a valuation debate until SLB provides more clarity on:</w:t>
      </w:r>
    </w:p>
    <w:p>
      <w:pPr>
        <w:pStyle w:val="Compact"/>
        <w:numPr>
          <w:ilvl w:val="0"/>
          <w:numId w:val="1010"/>
        </w:numPr>
      </w:pPr>
      <w:r>
        <w:t xml:space="preserve">Backlog, bookings, customer concentration, and delivery timing;</w:t>
      </w:r>
    </w:p>
    <w:p>
      <w:pPr>
        <w:pStyle w:val="Compact"/>
        <w:numPr>
          <w:ilvl w:val="0"/>
          <w:numId w:val="1010"/>
        </w:numPr>
      </w:pPr>
      <w:r>
        <w:t xml:space="preserve">Revenue and margin contribution for 2026 and 2027;</w:t>
      </w:r>
    </w:p>
    <w:p>
      <w:pPr>
        <w:pStyle w:val="Compact"/>
        <w:numPr>
          <w:ilvl w:val="0"/>
          <w:numId w:val="1010"/>
        </w:numPr>
      </w:pPr>
      <w:r>
        <w:t xml:space="preserve">Capital intensity and working-capital needs;</w:t>
      </w:r>
    </w:p>
    <w:p>
      <w:pPr>
        <w:pStyle w:val="Compact"/>
        <w:numPr>
          <w:ilvl w:val="0"/>
          <w:numId w:val="1010"/>
        </w:numPr>
      </w:pPr>
      <w:r>
        <w:t xml:space="preserve">Whether data-center growth is incremental to core returns rather than a source of execution risk or capital diversion.</w:t>
      </w:r>
    </w:p>
    <w:bookmarkEnd w:id="16"/>
    <w:bookmarkEnd w:id="17"/>
    <w:bookmarkStart w:id="18" w:name="cash-flow-and-capital-returns"/>
    <w:p>
      <w:pPr>
        <w:pStyle w:val="Heading2"/>
      </w:pPr>
      <w:r>
        <w:t xml:space="preserve">Cash flow and capital returns</w:t>
      </w:r>
    </w:p>
    <w:p>
      <w:pPr>
        <w:pStyle w:val="FirstParagraph"/>
      </w:pPr>
      <w:r>
        <w:t xml:space="preserve">1Q free cash flow was modestly negative at</w:t>
      </w:r>
      <w:r>
        <w:t xml:space="preserve"> </w:t>
      </w:r>
      <w:r>
        <w:rPr>
          <w:b/>
          <w:bCs/>
        </w:rPr>
        <w:t xml:space="preserve">$23 million</w:t>
      </w:r>
      <w:r>
        <w:t xml:space="preserve">, reflecting annual incentive payments, seasonal working-capital consumption, and delayed Middle East collections. SLB still expected free cash flow to build through the year, with the majority generated in the second half.</w:t>
      </w:r>
    </w:p>
    <w:p>
      <w:pPr>
        <w:pStyle w:val="BodyText"/>
      </w:pPr>
      <w:r>
        <w:t xml:space="preserve">Management’s full-year commitments remain material:</w:t>
      </w:r>
    </w:p>
    <w:p>
      <w:pPr>
        <w:pStyle w:val="Compact"/>
        <w:numPr>
          <w:ilvl w:val="0"/>
          <w:numId w:val="1011"/>
        </w:numPr>
      </w:pPr>
      <w:r>
        <w:t xml:space="preserve">Approximately</w:t>
      </w:r>
      <w:r>
        <w:t xml:space="preserve"> </w:t>
      </w:r>
      <w:r>
        <w:rPr>
          <w:b/>
          <w:bCs/>
        </w:rPr>
        <w:t xml:space="preserve">$2.5 billion</w:t>
      </w:r>
      <w:r>
        <w:t xml:space="preserve"> </w:t>
      </w:r>
      <w:r>
        <w:t xml:space="preserve">of capital investments;</w:t>
      </w:r>
    </w:p>
    <w:p>
      <w:pPr>
        <w:pStyle w:val="Compact"/>
        <w:numPr>
          <w:ilvl w:val="0"/>
          <w:numId w:val="1011"/>
        </w:numPr>
      </w:pPr>
      <w:r>
        <w:t xml:space="preserve">At least</w:t>
      </w:r>
      <w:r>
        <w:t xml:space="preserve"> </w:t>
      </w:r>
      <w:r>
        <w:rPr>
          <w:b/>
          <w:bCs/>
        </w:rPr>
        <w:t xml:space="preserve">$2.4 billion</w:t>
      </w:r>
      <w:r>
        <w:t xml:space="preserve"> </w:t>
      </w:r>
      <w:r>
        <w:t xml:space="preserve">of share repurchases;</w:t>
      </w:r>
    </w:p>
    <w:p>
      <w:pPr>
        <w:pStyle w:val="Compact"/>
        <w:numPr>
          <w:ilvl w:val="0"/>
          <w:numId w:val="1011"/>
        </w:numPr>
      </w:pPr>
      <w:r>
        <w:t xml:space="preserve">More than</w:t>
      </w:r>
      <w:r>
        <w:t xml:space="preserve"> </w:t>
      </w:r>
      <w:r>
        <w:rPr>
          <w:b/>
          <w:bCs/>
        </w:rPr>
        <w:t xml:space="preserve">$4 billion</w:t>
      </w:r>
      <w:r>
        <w:t xml:space="preserve"> </w:t>
      </w:r>
      <w:r>
        <w:t xml:space="preserve">of total shareholder returns through dividends and buybacks.</w:t>
      </w:r>
    </w:p>
    <w:p>
      <w:pPr>
        <w:pStyle w:val="FirstParagraph"/>
      </w:pPr>
      <w:r>
        <w:t xml:space="preserve">For 2Q, the key is whether working capital and collections normalize enough to restore confidence in the full-year cash-return plan.</w:t>
      </w:r>
    </w:p>
    <w:bookmarkEnd w:id="18"/>
    <w:bookmarkStart w:id="19" w:name="what-would-constitute-a-bullish-report"/>
    <w:p>
      <w:pPr>
        <w:pStyle w:val="Heading2"/>
      </w:pPr>
      <w:r>
        <w:t xml:space="preserve">What would constitute a bullish report?</w:t>
      </w:r>
    </w:p>
    <w:p>
      <w:pPr>
        <w:pStyle w:val="FirstParagraph"/>
      </w:pPr>
      <w:r>
        <w:t xml:space="preserve">A constructive outcome would include:</w:t>
      </w:r>
    </w:p>
    <w:p>
      <w:pPr>
        <w:pStyle w:val="Compact"/>
        <w:numPr>
          <w:ilvl w:val="0"/>
          <w:numId w:val="1012"/>
        </w:numPr>
      </w:pPr>
      <w:r>
        <w:t xml:space="preserve">Earnings broadly consistent with management’s 2Q disruption scenario;</w:t>
      </w:r>
    </w:p>
    <w:p>
      <w:pPr>
        <w:pStyle w:val="Compact"/>
        <w:numPr>
          <w:ilvl w:val="0"/>
          <w:numId w:val="1012"/>
        </w:numPr>
      </w:pPr>
      <w:r>
        <w:t xml:space="preserve">Clear evidence that non-Middle East international growth offset the regional shortfall;</w:t>
      </w:r>
    </w:p>
    <w:p>
      <w:pPr>
        <w:pStyle w:val="Compact"/>
        <w:numPr>
          <w:ilvl w:val="0"/>
          <w:numId w:val="1012"/>
        </w:numPr>
      </w:pPr>
      <w:r>
        <w:t xml:space="preserve">Sequential margin improvement, led by OneSubsea normalization and better international mix;</w:t>
      </w:r>
    </w:p>
    <w:p>
      <w:pPr>
        <w:pStyle w:val="Compact"/>
        <w:numPr>
          <w:ilvl w:val="0"/>
          <w:numId w:val="1012"/>
        </w:numPr>
      </w:pPr>
      <w:r>
        <w:t xml:space="preserve">Continued ChampionX synergy realization and accretive production-recovery growth;</w:t>
      </w:r>
    </w:p>
    <w:p>
      <w:pPr>
        <w:pStyle w:val="Compact"/>
        <w:numPr>
          <w:ilvl w:val="0"/>
          <w:numId w:val="1012"/>
        </w:numPr>
      </w:pPr>
      <w:r>
        <w:t xml:space="preserve">Digital revenue/ARR momentum and reassurance around the 35% full-year margin target;</w:t>
      </w:r>
    </w:p>
    <w:p>
      <w:pPr>
        <w:pStyle w:val="Compact"/>
        <w:numPr>
          <w:ilvl w:val="0"/>
          <w:numId w:val="1012"/>
        </w:numPr>
      </w:pPr>
      <w:r>
        <w:t xml:space="preserve">Firm data-center backlog or customer announcements;</w:t>
      </w:r>
    </w:p>
    <w:p>
      <w:pPr>
        <w:pStyle w:val="Compact"/>
        <w:numPr>
          <w:ilvl w:val="0"/>
          <w:numId w:val="1012"/>
        </w:numPr>
      </w:pPr>
      <w:r>
        <w:t xml:space="preserve">A credible path to improving free cash flow in the second half;</w:t>
      </w:r>
    </w:p>
    <w:p>
      <w:pPr>
        <w:pStyle w:val="Compact"/>
        <w:numPr>
          <w:ilvl w:val="0"/>
          <w:numId w:val="1012"/>
        </w:numPr>
      </w:pPr>
      <w:r>
        <w:t xml:space="preserve">Commentary that preserves—or improves—the expected Middle East recovery and 2027–28 offshore investment outlook.</w:t>
      </w:r>
    </w:p>
    <w:bookmarkEnd w:id="19"/>
    <w:bookmarkStart w:id="20" w:name="what-would-constitute-a-bearish-report"/>
    <w:p>
      <w:pPr>
        <w:pStyle w:val="Heading2"/>
      </w:pPr>
      <w:r>
        <w:t xml:space="preserve">What would constitute a bearish report?</w:t>
      </w:r>
    </w:p>
    <w:p>
      <w:pPr>
        <w:pStyle w:val="FirstParagraph"/>
      </w:pPr>
      <w:r>
        <w:t xml:space="preserve">The negative case would feature:</w:t>
      </w:r>
    </w:p>
    <w:p>
      <w:pPr>
        <w:pStyle w:val="Compact"/>
        <w:numPr>
          <w:ilvl w:val="0"/>
          <w:numId w:val="1013"/>
        </w:numPr>
      </w:pPr>
      <w:r>
        <w:t xml:space="preserve">A larger-than-anticipated earnings impact from Middle East downtime or cost inflation;</w:t>
      </w:r>
    </w:p>
    <w:p>
      <w:pPr>
        <w:pStyle w:val="Compact"/>
        <w:numPr>
          <w:ilvl w:val="0"/>
          <w:numId w:val="1013"/>
        </w:numPr>
      </w:pPr>
      <w:r>
        <w:t xml:space="preserve">Weaker-than-expected international offset outside the region;</w:t>
      </w:r>
    </w:p>
    <w:p>
      <w:pPr>
        <w:pStyle w:val="Compact"/>
        <w:numPr>
          <w:ilvl w:val="0"/>
          <w:numId w:val="1013"/>
        </w:numPr>
      </w:pPr>
      <w:r>
        <w:t xml:space="preserve">No meaningful OneSubsea margin recovery;</w:t>
      </w:r>
    </w:p>
    <w:p>
      <w:pPr>
        <w:pStyle w:val="Compact"/>
        <w:numPr>
          <w:ilvl w:val="0"/>
          <w:numId w:val="1013"/>
        </w:numPr>
      </w:pPr>
      <w:r>
        <w:t xml:space="preserve">Further pressure in Well Construction pricing or North American activity;</w:t>
      </w:r>
    </w:p>
    <w:p>
      <w:pPr>
        <w:pStyle w:val="Compact"/>
        <w:numPr>
          <w:ilvl w:val="0"/>
          <w:numId w:val="1013"/>
        </w:numPr>
      </w:pPr>
      <w:r>
        <w:t xml:space="preserve">Deteriorating collections or working-capital consumption that threatens capital returns;</w:t>
      </w:r>
    </w:p>
    <w:p>
      <w:pPr>
        <w:pStyle w:val="Compact"/>
        <w:numPr>
          <w:ilvl w:val="0"/>
          <w:numId w:val="1013"/>
        </w:numPr>
      </w:pPr>
      <w:r>
        <w:t xml:space="preserve">A more cautious 3Q outlook due to renewed regional escalation and shipping disruptions;</w:t>
      </w:r>
    </w:p>
    <w:p>
      <w:pPr>
        <w:pStyle w:val="Compact"/>
        <w:numPr>
          <w:ilvl w:val="0"/>
          <w:numId w:val="1013"/>
        </w:numPr>
      </w:pPr>
      <w:r>
        <w:t xml:space="preserve">Reduced visibility into the timing of production restoration, offshore FIDs, or data-center monetization.</w:t>
      </w:r>
    </w:p>
    <w:bookmarkEnd w:id="20"/>
    <w:bookmarkStart w:id="22" w:name="bottom-line"/>
    <w:p>
      <w:pPr>
        <w:pStyle w:val="Heading2"/>
      </w:pPr>
      <w:r>
        <w:t xml:space="preserve">Bottom line</w:t>
      </w:r>
    </w:p>
    <w:p>
      <w:pPr>
        <w:pStyle w:val="FirstParagraph"/>
      </w:pPr>
      <w:r>
        <w:t xml:space="preserve">SLB’s 2Q26 report is principally a</w:t>
      </w:r>
      <w:r>
        <w:t xml:space="preserve"> </w:t>
      </w:r>
      <w:r>
        <w:rPr>
          <w:b/>
          <w:bCs/>
        </w:rPr>
        <w:t xml:space="preserve">confidence test</w:t>
      </w:r>
      <w:r>
        <w:t xml:space="preserve">. The company has a credible set of medium-term growth levers—offshore and OneSubsea, ChampionX-enabled production recovery, Digital, and data-center infrastructure—but near-term earnings remain heavily exposed to the duration and severity of Middle East disruption.</w:t>
      </w:r>
    </w:p>
    <w:p>
      <w:pPr>
        <w:pStyle w:val="BodyText"/>
      </w:pPr>
      <w:r>
        <w:t xml:space="preserve">The stock’s sizable decline into the report creates room for upside if SLB demonstrates that the 2Q disruption was manageable, margins are already recovering, and the rest of the international portfolio is doing the offsetting work management promised. But the market is likely to look through 2Q results quickly: the decisive issue will be whether management can credibly frame the July geopolitical developments as a temporary complication rather than a renewed hit to the company’s recovery timetable.</w:t>
      </w:r>
    </w:p>
    <w:p>
      <w:r>
        <w:pict>
          <v:rect style="width:0;height:1.5pt" o:hralign="center" o:hrstd="t" o:hr="t"/>
        </w:pict>
      </w:r>
    </w:p>
    <w:bookmarkStart w:id="21" w:name="research-basis"/>
    <w:p>
      <w:pPr>
        <w:pStyle w:val="Heading3"/>
      </w:pPr>
      <w:r>
        <w:t xml:space="preserve">Research basis</w:t>
      </w:r>
    </w:p>
    <w:p>
      <w:pPr>
        <w:pStyle w:val="Compact"/>
        <w:numPr>
          <w:ilvl w:val="0"/>
          <w:numId w:val="1014"/>
        </w:numPr>
      </w:pPr>
      <w:r>
        <w:t xml:space="preserve">SLB 1Q26 earnings call, April 24, 2026</w:t>
      </w:r>
    </w:p>
    <w:p>
      <w:pPr>
        <w:pStyle w:val="Compact"/>
        <w:numPr>
          <w:ilvl w:val="0"/>
          <w:numId w:val="1014"/>
        </w:numPr>
      </w:pPr>
      <w:r>
        <w:t xml:space="preserve">SLB Digital Investor Day, June 17, 2026</w:t>
      </w:r>
    </w:p>
    <w:p>
      <w:pPr>
        <w:pStyle w:val="Compact"/>
        <w:numPr>
          <w:ilvl w:val="0"/>
          <w:numId w:val="1014"/>
        </w:numPr>
      </w:pPr>
      <w:r>
        <w:t xml:space="preserve">Recent SLB/energy news through July 23, 2026</w:t>
      </w:r>
    </w:p>
    <w:p>
      <w:pPr>
        <w:pStyle w:val="Compact"/>
        <w:numPr>
          <w:ilvl w:val="0"/>
          <w:numId w:val="1014"/>
        </w:numPr>
      </w:pPr>
      <w:r>
        <w:t xml:space="preserve">SLB share-price performance through July 23,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2026-07-24T00:10:35Z</dcterms:created>
  <dcterms:modified xsi:type="dcterms:W3CDTF">2026-07-24T00:10:35Z</dcterms:modified>
</cp:coreProperties>
</file>

<file path=docProps/custom.xml><?xml version="1.0" encoding="utf-8"?>
<Properties xmlns="http://schemas.openxmlformats.org/officeDocument/2006/custom-properties" xmlns:vt="http://schemas.openxmlformats.org/officeDocument/2006/docPropsVTypes"/>
</file>