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SLB (Schlumberger N.V.) — Q2 2026 Earnings Preview</w:t>
      </w:r>
    </w:p>
    <w:p>
      <w:r>
        <w:rPr>
          <w:rFonts w:ascii="Calibri" w:hAnsi="Calibri"/>
          <w:b/>
          <w:color w:val="525866"/>
          <w:sz w:val="22"/>
        </w:rPr>
        <w:t xml:space="preserve">Ticker: </w:t>
      </w:r>
      <w:r>
        <w:rPr>
          <w:rFonts w:ascii="Calibri" w:hAnsi="Calibri"/>
          <w:color w:val="525866"/>
          <w:sz w:val="22"/>
        </w:rPr>
        <w:t xml:space="preserve">SLB (NYSE)   </w:t>
      </w:r>
      <w:r>
        <w:rPr>
          <w:rFonts w:ascii="Calibri" w:hAnsi="Calibri"/>
          <w:b/>
          <w:color w:val="525866"/>
          <w:sz w:val="22"/>
        </w:rPr>
        <w:t xml:space="preserve">Earnings Date: </w:t>
      </w:r>
      <w:r>
        <w:rPr>
          <w:rFonts w:ascii="Calibri" w:hAnsi="Calibri"/>
          <w:color w:val="525866"/>
          <w:sz w:val="22"/>
        </w:rPr>
        <w:t xml:space="preserve">July 24, 2026 (Before Market Open)   </w:t>
      </w:r>
      <w:r>
        <w:rPr>
          <w:rFonts w:ascii="Calibri" w:hAnsi="Calibri"/>
          <w:b/>
          <w:color w:val="525866"/>
          <w:sz w:val="22"/>
        </w:rPr>
        <w:t xml:space="preserve">Prepared: </w:t>
      </w:r>
      <w:r>
        <w:rPr>
          <w:rFonts w:ascii="Calibri" w:hAnsi="Calibri"/>
          <w:color w:val="525866"/>
          <w:sz w:val="22"/>
        </w:rPr>
        <w:t>July 23,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w:t>
      </w:r>
      <w:r>
        <w:rPr>
          <w:rFonts w:ascii="Calibri" w:hAnsi="Calibri"/>
          <w:b/>
          <w:color w:val="525866"/>
          <w:sz w:val="22"/>
        </w:rPr>
        <w:t>cautiously constructive but not a high bar</w:t>
      </w:r>
      <w:r>
        <w:rPr>
          <w:rFonts w:ascii="Calibri" w:hAnsi="Calibri"/>
          <w:color w:val="525866"/>
          <w:sz w:val="22"/>
        </w:rPr>
        <w:t xml:space="preserve"> — consensus has drifted modestly lower since Q1 earnings, Middle East disruption remains the dominant swing factor, and any incremental recovery signal from the region could drive a meaningful beat.</w:t>
      </w:r>
    </w:p>
    <w:p>
      <w:r>
        <w:rPr>
          <w:rFonts w:ascii="Calibri" w:hAnsi="Calibri"/>
          <w:color w:val="525866"/>
          <w:sz w:val="22"/>
        </w:rPr>
        <w:t xml:space="preserve">Heading into Q2 2026, the bar for SLB is manageable: consensus revenue of </w:t>
      </w:r>
      <w:r>
        <w:rPr>
          <w:rFonts w:ascii="Calibri" w:hAnsi="Calibri"/>
          <w:b/>
          <w:color w:val="525866"/>
          <w:sz w:val="22"/>
        </w:rPr>
        <w:t>$8.68B</w:t>
      </w:r>
      <w:r>
        <w:rPr>
          <w:rFonts w:ascii="Calibri" w:hAnsi="Calibri"/>
          <w:color w:val="525866"/>
          <w:sz w:val="22"/>
        </w:rPr>
        <w:t xml:space="preserve"> implies a modest sequential dip from Q1's $8.72B, and operating EPS of </w:t>
      </w:r>
      <w:r>
        <w:rPr>
          <w:rFonts w:ascii="Calibri" w:hAnsi="Calibri"/>
          <w:b/>
          <w:color w:val="525866"/>
          <w:sz w:val="22"/>
        </w:rPr>
        <w:t>$0.51</w:t>
      </w:r>
      <w:r>
        <w:rPr>
          <w:rFonts w:ascii="Calibri" w:hAnsi="Calibri"/>
          <w:color w:val="525866"/>
          <w:sz w:val="22"/>
        </w:rPr>
        <w:t xml:space="preserve"> is down ~2% from the post-Q1 baseline — estimates have been trimmed steadily since late June as analysts baked in a more cautious Middle East recovery pace. Management's Q1 posture was deliberately scenario-based rather than guided, framing Q2 as a function of how quickly the Strait of Hormuz disruption eases; that ambiguity has kept the bar low but also left the stock </w:t>
      </w:r>
      <w:r>
        <w:rPr>
          <w:rFonts w:ascii="Calibri" w:hAnsi="Calibri"/>
          <w:b/>
          <w:color w:val="525866"/>
          <w:sz w:val="22"/>
        </w:rPr>
        <w:t>~16% below its post-Q1 close</w:t>
      </w:r>
      <w:r>
        <w:rPr>
          <w:rFonts w:ascii="Calibri" w:hAnsi="Calibri"/>
          <w:color w:val="525866"/>
          <w:sz w:val="22"/>
        </w:rPr>
        <w:t xml:space="preserve"> as of today, significantly underperforming both OIH (−12%) and the S&amp;P 500 (+3%). The Digital segment is the clearest positive catalyst — ARR crossed $1B in Q1, the June Digital Investor Day reinforced a 10–15% CAGR through 2030, and Data Center Solutions is tracking toward a $1B exit-rate run rate by year-end — but these are structural stories that won't move the needle on a single quarter. The </w:t>
      </w:r>
      <w:r>
        <w:rPr>
          <w:rFonts w:ascii="Calibri" w:hAnsi="Calibri"/>
          <w:b/>
          <w:color w:val="525866"/>
          <w:sz w:val="22"/>
        </w:rPr>
        <w:t>wildcard is the pace of Middle East recovery</w:t>
      </w:r>
      <w:r>
        <w:rPr>
          <w:rFonts w:ascii="Calibri" w:hAnsi="Calibri"/>
          <w:color w:val="525866"/>
          <w:sz w:val="22"/>
        </w:rPr>
        <w:t>: HAL's Q2 print (July 21) showed offshore activity still below pre-conflict levels and land construction 'largely steady' with pockets of disruption in Iraq and Bahrain — a read-through that suggests SLB's Well Construction and Reservoir Performance segments remain under pressure, but that the worst of the sequential decline may be behind us.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low-to-fair bar</w:t>
      </w:r>
      <w:r>
        <w:rPr>
          <w:rFonts w:ascii="Calibri" w:hAnsi="Calibri"/>
          <w:color w:val="525866"/>
          <w:sz w:val="22"/>
        </w:rPr>
        <w:t xml:space="preserve"> heading into the print — revenue and EPS estimates have been trimmed since Q1 earnings, and the bigger swing factor is </w:t>
      </w:r>
      <w:r>
        <w:rPr>
          <w:rFonts w:ascii="Calibri" w:hAnsi="Calibri"/>
          <w:b/>
          <w:color w:val="525866"/>
          <w:sz w:val="22"/>
        </w:rPr>
        <w:t>EBITDA margin recovery</w:t>
      </w:r>
      <w:r>
        <w:rPr>
          <w:rFonts w:ascii="Calibri" w:hAnsi="Calibri"/>
          <w:color w:val="525866"/>
          <w:sz w:val="22"/>
        </w:rPr>
        <w:t xml:space="preserve"> as Middle East headwinds (partially) ease and Digital/Production Systems mix improves.</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(Q1 Call)</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 ($B)</w:t>
            </w:r>
          </w:p>
        </w:tc>
        <w:tc>
          <w:tcPr>
            <w:tcW w:type="dxa" w:w="1234"/>
          </w:tcPr>
          <w:p>
            <w:r>
              <w:rPr>
                <w:rFonts w:ascii="Calibri" w:hAnsi="Calibri"/>
                <w:sz w:val="22"/>
              </w:rPr>
              <w:t>$8.72B</w:t>
            </w:r>
          </w:p>
        </w:tc>
        <w:tc>
          <w:tcPr>
            <w:tcW w:type="dxa" w:w="1234"/>
          </w:tcPr>
          <w:p>
            <w:r>
              <w:rPr>
                <w:rFonts w:ascii="Calibri" w:hAnsi="Calibri"/>
                <w:sz w:val="22"/>
              </w:rPr>
              <w:t>$9.40B</w:t>
            </w:r>
          </w:p>
        </w:tc>
        <w:tc>
          <w:tcPr>
            <w:tcW w:type="dxa" w:w="1234"/>
          </w:tcPr>
          <w:p>
            <w:r>
              <w:rPr>
                <w:rFonts w:ascii="Calibri" w:hAnsi="Calibri"/>
                <w:sz w:val="22"/>
              </w:rPr>
              <w:t>$8.68B</w:t>
            </w:r>
          </w:p>
        </w:tc>
        <w:tc>
          <w:tcPr>
            <w:tcW w:type="dxa" w:w="1234"/>
          </w:tcPr>
          <w:p>
            <w:r>
              <w:rPr>
                <w:rFonts w:ascii="Calibri" w:hAnsi="Calibri"/>
                <w:b/>
                <w:color w:val="E5484D"/>
                <w:sz w:val="22"/>
              </w:rPr>
              <w:t>−7.7%</w:t>
            </w:r>
          </w:p>
        </w:tc>
        <w:tc>
          <w:tcPr>
            <w:tcW w:type="dxa" w:w="1234"/>
          </w:tcPr>
          <w:p>
            <w:r>
              <w:rPr>
                <w:rFonts w:ascii="Calibri" w:hAnsi="Calibri"/>
                <w:sz w:val="22"/>
              </w:rPr>
              <w:t>Scenario-based; ME offset by intl growth</w:t>
            </w:r>
          </w:p>
        </w:tc>
        <w:tc>
          <w:tcPr>
            <w:tcW w:type="dxa" w:w="1234"/>
          </w:tcPr>
          <w:p>
            <w:r>
              <w:rPr>
                <w:rFonts w:ascii="Calibri" w:hAnsi="Calibri"/>
                <w:sz w:val="22"/>
              </w:rPr>
              <w:t>N/A (no numeric guide)</w:t>
            </w:r>
          </w:p>
        </w:tc>
      </w:tr>
      <w:tr>
        <w:tc>
          <w:tcPr>
            <w:tcW w:type="dxa" w:w="1234"/>
          </w:tcPr>
          <w:p>
            <w:r>
              <w:rPr>
                <w:rFonts w:ascii="Calibri" w:hAnsi="Calibri"/>
                <w:sz w:val="22"/>
              </w:rPr>
              <w:t>Adj. Operating EPS ($)</w:t>
            </w:r>
          </w:p>
        </w:tc>
        <w:tc>
          <w:tcPr>
            <w:tcW w:type="dxa" w:w="1234"/>
          </w:tcPr>
          <w:p>
            <w:r>
              <w:rPr>
                <w:rFonts w:ascii="Calibri" w:hAnsi="Calibri"/>
                <w:sz w:val="22"/>
              </w:rPr>
              <w:t>$0.52</w:t>
            </w:r>
          </w:p>
        </w:tc>
        <w:tc>
          <w:tcPr>
            <w:tcW w:type="dxa" w:w="1234"/>
          </w:tcPr>
          <w:p>
            <w:r>
              <w:rPr>
                <w:rFonts w:ascii="Calibri" w:hAnsi="Calibri"/>
                <w:sz w:val="22"/>
              </w:rPr>
              <w:t>$0.72</w:t>
            </w:r>
          </w:p>
        </w:tc>
        <w:tc>
          <w:tcPr>
            <w:tcW w:type="dxa" w:w="1234"/>
          </w:tcPr>
          <w:p>
            <w:r>
              <w:rPr>
                <w:rFonts w:ascii="Calibri" w:hAnsi="Calibri"/>
                <w:sz w:val="22"/>
              </w:rPr>
              <w:t>$0.51</w:t>
            </w:r>
          </w:p>
        </w:tc>
        <w:tc>
          <w:tcPr>
            <w:tcW w:type="dxa" w:w="1234"/>
          </w:tcPr>
          <w:p>
            <w:r>
              <w:rPr>
                <w:rFonts w:ascii="Calibri" w:hAnsi="Calibri"/>
                <w:b/>
                <w:color w:val="E5484D"/>
                <w:sz w:val="22"/>
              </w:rPr>
              <w:t>−29.2%</w:t>
            </w:r>
          </w:p>
        </w:tc>
        <w:tc>
          <w:tcPr>
            <w:tcW w:type="dxa" w:w="1234"/>
          </w:tcPr>
          <w:p>
            <w:r>
              <w:rPr>
                <w:rFonts w:ascii="Calibri" w:hAnsi="Calibri"/>
                <w:sz w:val="22"/>
              </w:rPr>
              <w:t>ME impact −$0.06–$0.08 vs Q1; offset by intl</w:t>
            </w:r>
          </w:p>
        </w:tc>
        <w:tc>
          <w:tcPr>
            <w:tcW w:type="dxa" w:w="1234"/>
          </w:tcPr>
          <w:p>
            <w:r>
              <w:rPr>
                <w:rFonts w:ascii="Calibri" w:hAnsi="Calibri"/>
                <w:sz w:val="22"/>
              </w:rPr>
              <w:t>N/A (no numeric guide)</w:t>
            </w:r>
          </w:p>
        </w:tc>
      </w:tr>
      <w:tr>
        <w:tc>
          <w:tcPr>
            <w:tcW w:type="dxa" w:w="1234"/>
          </w:tcPr>
          <w:p>
            <w:r>
              <w:rPr>
                <w:rFonts w:ascii="Calibri" w:hAnsi="Calibri"/>
                <w:sz w:val="22"/>
              </w:rPr>
              <w:t>Adj. EBITDA ($B)</w:t>
            </w:r>
          </w:p>
        </w:tc>
        <w:tc>
          <w:tcPr>
            <w:tcW w:type="dxa" w:w="1234"/>
          </w:tcPr>
          <w:p>
            <w:r>
              <w:rPr>
                <w:rFonts w:ascii="Calibri" w:hAnsi="Calibri"/>
                <w:sz w:val="22"/>
              </w:rPr>
              <w:t>$1.77B</w:t>
            </w:r>
          </w:p>
        </w:tc>
        <w:tc>
          <w:tcPr>
            <w:tcW w:type="dxa" w:w="1234"/>
          </w:tcPr>
          <w:p>
            <w:r>
              <w:rPr>
                <w:rFonts w:ascii="Calibri" w:hAnsi="Calibri"/>
                <w:sz w:val="22"/>
              </w:rPr>
              <w:t>$2.05B</w:t>
            </w:r>
          </w:p>
        </w:tc>
        <w:tc>
          <w:tcPr>
            <w:tcW w:type="dxa" w:w="1234"/>
          </w:tcPr>
          <w:p>
            <w:r>
              <w:rPr>
                <w:rFonts w:ascii="Calibri" w:hAnsi="Calibri"/>
                <w:sz w:val="22"/>
              </w:rPr>
              <w:t>$1.77B</w:t>
            </w:r>
          </w:p>
        </w:tc>
        <w:tc>
          <w:tcPr>
            <w:tcW w:type="dxa" w:w="1234"/>
          </w:tcPr>
          <w:p>
            <w:r>
              <w:rPr>
                <w:rFonts w:ascii="Calibri" w:hAnsi="Calibri"/>
                <w:b/>
                <w:color w:val="E5484D"/>
                <w:sz w:val="22"/>
              </w:rPr>
              <w:t>−13.7%</w:t>
            </w:r>
          </w:p>
        </w:tc>
        <w:tc>
          <w:tcPr>
            <w:tcW w:type="dxa" w:w="1234"/>
          </w:tcPr>
          <w:p>
            <w:r>
              <w:rPr>
                <w:rFonts w:ascii="Calibri" w:hAnsi="Calibri"/>
                <w:sz w:val="22"/>
              </w:rPr>
              <w:t>Digital EBITDA margin ≥35% FY; no Q2 specific</w:t>
            </w:r>
          </w:p>
        </w:tc>
        <w:tc>
          <w:tcPr>
            <w:tcW w:type="dxa" w:w="1234"/>
          </w:tcPr>
          <w:p>
            <w:r>
              <w:rPr>
                <w:rFonts w:ascii="Calibri" w:hAnsi="Calibri"/>
                <w:sz w:val="22"/>
              </w:rPr>
              <w:t>N/A (no numeric guide)</w:t>
            </w:r>
          </w:p>
        </w:tc>
      </w:tr>
      <w:tr>
        <w:tc>
          <w:tcPr>
            <w:tcW w:type="dxa" w:w="1234"/>
          </w:tcPr>
          <w:p>
            <w:r>
              <w:rPr>
                <w:rFonts w:ascii="Calibri" w:hAnsi="Calibri"/>
                <w:sz w:val="22"/>
              </w:rPr>
              <w:t>Free Cash Flow ($B)</w:t>
            </w:r>
          </w:p>
        </w:tc>
        <w:tc>
          <w:tcPr>
            <w:tcW w:type="dxa" w:w="1234"/>
          </w:tcPr>
          <w:p>
            <w:r>
              <w:rPr>
                <w:rFonts w:ascii="Calibri" w:hAnsi="Calibri"/>
                <w:sz w:val="22"/>
              </w:rPr>
              <w:t>−$0.02B</w:t>
            </w:r>
          </w:p>
        </w:tc>
        <w:tc>
          <w:tcPr>
            <w:tcW w:type="dxa" w:w="1234"/>
          </w:tcPr>
          <w:p>
            <w:r>
              <w:rPr>
                <w:rFonts w:ascii="Calibri" w:hAnsi="Calibri"/>
                <w:sz w:val="22"/>
              </w:rPr>
              <w:t>$0.62B</w:t>
            </w:r>
          </w:p>
        </w:tc>
        <w:tc>
          <w:tcPr>
            <w:tcW w:type="dxa" w:w="1234"/>
          </w:tcPr>
          <w:p>
            <w:r>
              <w:rPr>
                <w:rFonts w:ascii="Calibri" w:hAnsi="Calibri"/>
                <w:sz w:val="22"/>
              </w:rPr>
              <w:t>$0.37B</w:t>
            </w:r>
          </w:p>
        </w:tc>
        <w:tc>
          <w:tcPr>
            <w:tcW w:type="dxa" w:w="1234"/>
          </w:tcPr>
          <w:p>
            <w:r>
              <w:rPr>
                <w:rFonts w:ascii="Calibri" w:hAnsi="Calibri"/>
                <w:b/>
                <w:color w:val="E5484D"/>
                <w:sz w:val="22"/>
              </w:rPr>
              <w:t>−40.2%</w:t>
            </w:r>
          </w:p>
        </w:tc>
        <w:tc>
          <w:tcPr>
            <w:tcW w:type="dxa" w:w="1234"/>
          </w:tcPr>
          <w:p>
            <w:r>
              <w:rPr>
                <w:rFonts w:ascii="Calibri" w:hAnsi="Calibri"/>
                <w:sz w:val="22"/>
              </w:rPr>
              <w:t>&gt;$4B total shareholder return FY2026</w:t>
            </w:r>
          </w:p>
        </w:tc>
        <w:tc>
          <w:tcPr>
            <w:tcW w:type="dxa" w:w="1234"/>
          </w:tcPr>
          <w:p>
            <w:r>
              <w:rPr>
                <w:rFonts w:ascii="Calibri" w:hAnsi="Calibri"/>
                <w:sz w:val="22"/>
              </w:rPr>
              <w:t>N/A (no numeric guide)</w:t>
            </w:r>
          </w:p>
        </w:tc>
      </w:tr>
      <w:tr>
        <w:tc>
          <w:tcPr>
            <w:tcW w:type="dxa" w:w="1234"/>
          </w:tcPr>
          <w:p>
            <w:r>
              <w:rPr>
                <w:rFonts w:ascii="Calibri" w:hAnsi="Calibri"/>
                <w:sz w:val="22"/>
              </w:rPr>
              <w:t>Revenue — Well Construction ($B)</w:t>
            </w:r>
          </w:p>
        </w:tc>
        <w:tc>
          <w:tcPr>
            <w:tcW w:type="dxa" w:w="1234"/>
          </w:tcPr>
          <w:p>
            <w:r>
              <w:rPr>
                <w:rFonts w:ascii="Calibri" w:hAnsi="Calibri"/>
                <w:sz w:val="22"/>
              </w:rPr>
              <w:t>$2.80B</w:t>
            </w:r>
          </w:p>
        </w:tc>
        <w:tc>
          <w:tcPr>
            <w:tcW w:type="dxa" w:w="1234"/>
          </w:tcPr>
          <w:p>
            <w:r>
              <w:rPr>
                <w:rFonts w:ascii="Calibri" w:hAnsi="Calibri"/>
                <w:sz w:val="22"/>
              </w:rPr>
              <w:t>$2.96B</w:t>
            </w:r>
          </w:p>
        </w:tc>
        <w:tc>
          <w:tcPr>
            <w:tcW w:type="dxa" w:w="1234"/>
          </w:tcPr>
          <w:p>
            <w:r>
              <w:rPr>
                <w:rFonts w:ascii="Calibri" w:hAnsi="Calibri"/>
                <w:sz w:val="22"/>
              </w:rPr>
              <w:t>$2.67B</w:t>
            </w:r>
          </w:p>
        </w:tc>
        <w:tc>
          <w:tcPr>
            <w:tcW w:type="dxa" w:w="1234"/>
          </w:tcPr>
          <w:p>
            <w:r>
              <w:rPr>
                <w:rFonts w:ascii="Calibri" w:hAnsi="Calibri"/>
                <w:b/>
                <w:color w:val="E5484D"/>
                <w:sz w:val="22"/>
              </w:rPr>
              <w:t>−10.0%</w:t>
            </w:r>
          </w:p>
        </w:tc>
        <w:tc>
          <w:tcPr>
            <w:tcW w:type="dxa" w:w="1234"/>
          </w:tcPr>
          <w:p>
            <w:r>
              <w:rPr>
                <w:rFonts w:ascii="Calibri" w:hAnsi="Calibri"/>
                <w:sz w:val="22"/>
              </w:rPr>
              <w:t>Expected to decline globally</w:t>
            </w:r>
          </w:p>
        </w:tc>
        <w:tc>
          <w:tcPr>
            <w:tcW w:type="dxa" w:w="1234"/>
          </w:tcPr>
          <w:p>
            <w:r>
              <w:rPr>
                <w:rFonts w:ascii="Calibri" w:hAnsi="Calibri"/>
                <w:sz w:val="22"/>
              </w:rPr>
              <w:t>In line with guidance direction</w:t>
            </w:r>
          </w:p>
        </w:tc>
      </w:tr>
      <w:tr>
        <w:tc>
          <w:tcPr>
            <w:tcW w:type="dxa" w:w="1234"/>
          </w:tcPr>
          <w:p>
            <w:r>
              <w:rPr>
                <w:rFonts w:ascii="Calibri" w:hAnsi="Calibri"/>
                <w:sz w:val="22"/>
              </w:rPr>
              <w:t>Revenue — Reservoir Performance ($B)</w:t>
            </w:r>
          </w:p>
        </w:tc>
        <w:tc>
          <w:tcPr>
            <w:tcW w:type="dxa" w:w="1234"/>
          </w:tcPr>
          <w:p>
            <w:r>
              <w:rPr>
                <w:rFonts w:ascii="Calibri" w:hAnsi="Calibri"/>
                <w:sz w:val="22"/>
              </w:rPr>
              <w:t>$1.59B</w:t>
            </w:r>
          </w:p>
        </w:tc>
        <w:tc>
          <w:tcPr>
            <w:tcW w:type="dxa" w:w="1234"/>
          </w:tcPr>
          <w:p>
            <w:r>
              <w:rPr>
                <w:rFonts w:ascii="Calibri" w:hAnsi="Calibri"/>
                <w:sz w:val="22"/>
              </w:rPr>
              <w:t>$1.69B</w:t>
            </w:r>
          </w:p>
        </w:tc>
        <w:tc>
          <w:tcPr>
            <w:tcW w:type="dxa" w:w="1234"/>
          </w:tcPr>
          <w:p>
            <w:r>
              <w:rPr>
                <w:rFonts w:ascii="Calibri" w:hAnsi="Calibri"/>
                <w:sz w:val="22"/>
              </w:rPr>
              <w:t>$1.52B</w:t>
            </w:r>
          </w:p>
        </w:tc>
        <w:tc>
          <w:tcPr>
            <w:tcW w:type="dxa" w:w="1234"/>
          </w:tcPr>
          <w:p>
            <w:r>
              <w:rPr>
                <w:rFonts w:ascii="Calibri" w:hAnsi="Calibri"/>
                <w:b/>
                <w:color w:val="E5484D"/>
                <w:sz w:val="22"/>
              </w:rPr>
              <w:t>−9.9%</w:t>
            </w:r>
          </w:p>
        </w:tc>
        <w:tc>
          <w:tcPr>
            <w:tcW w:type="dxa" w:w="1234"/>
          </w:tcPr>
          <w:p>
            <w:r>
              <w:rPr>
                <w:rFonts w:ascii="Calibri" w:hAnsi="Calibri"/>
                <w:sz w:val="22"/>
              </w:rPr>
              <w:t>Expected to decline globally</w:t>
            </w:r>
          </w:p>
        </w:tc>
        <w:tc>
          <w:tcPr>
            <w:tcW w:type="dxa" w:w="1234"/>
          </w:tcPr>
          <w:p>
            <w:r>
              <w:rPr>
                <w:rFonts w:ascii="Calibri" w:hAnsi="Calibri"/>
                <w:sz w:val="22"/>
              </w:rPr>
              <w:t>In line with guidance direction</w:t>
            </w:r>
          </w:p>
        </w:tc>
      </w:tr>
      <w:tr>
        <w:tc>
          <w:tcPr>
            <w:tcW w:type="dxa" w:w="1234"/>
          </w:tcPr>
          <w:p>
            <w:r>
              <w:rPr>
                <w:rFonts w:ascii="Calibri" w:hAnsi="Calibri"/>
                <w:sz w:val="22"/>
              </w:rPr>
              <w:t>Revenue — Production System ($B)</w:t>
            </w:r>
          </w:p>
        </w:tc>
        <w:tc>
          <w:tcPr>
            <w:tcW w:type="dxa" w:w="1234"/>
          </w:tcPr>
          <w:p>
            <w:r>
              <w:rPr>
                <w:rFonts w:ascii="Calibri" w:hAnsi="Calibri"/>
                <w:sz w:val="22"/>
              </w:rPr>
              <w:t>$3.51B</w:t>
            </w:r>
          </w:p>
        </w:tc>
        <w:tc>
          <w:tcPr>
            <w:tcW w:type="dxa" w:w="1234"/>
          </w:tcPr>
          <w:p>
            <w:r>
              <w:rPr>
                <w:rFonts w:ascii="Calibri" w:hAnsi="Calibri"/>
                <w:sz w:val="22"/>
              </w:rPr>
              <w:t>$2.93B</w:t>
            </w:r>
          </w:p>
        </w:tc>
        <w:tc>
          <w:tcPr>
            <w:tcW w:type="dxa" w:w="1234"/>
          </w:tcPr>
          <w:p>
            <w:r>
              <w:rPr>
                <w:rFonts w:ascii="Calibri" w:hAnsi="Calibri"/>
                <w:sz w:val="22"/>
              </w:rPr>
              <w:t>$3.60B</w:t>
            </w:r>
          </w:p>
        </w:tc>
        <w:tc>
          <w:tcPr>
            <w:tcW w:type="dxa" w:w="1234"/>
          </w:tcPr>
          <w:p>
            <w:r>
              <w:rPr>
                <w:rFonts w:ascii="Calibri" w:hAnsi="Calibri"/>
                <w:b/>
                <w:color w:val="30A46C"/>
                <w:sz w:val="22"/>
              </w:rPr>
              <w:t>+22.7%</w:t>
            </w:r>
          </w:p>
        </w:tc>
        <w:tc>
          <w:tcPr>
            <w:tcW w:type="dxa" w:w="1234"/>
          </w:tcPr>
          <w:p>
            <w:r>
              <w:rPr>
                <w:rFonts w:ascii="Calibri" w:hAnsi="Calibri"/>
                <w:sz w:val="22"/>
              </w:rPr>
              <w:t>Expected to grow globally (ChampionX)</w:t>
            </w:r>
          </w:p>
        </w:tc>
        <w:tc>
          <w:tcPr>
            <w:tcW w:type="dxa" w:w="1234"/>
          </w:tcPr>
          <w:p>
            <w:r>
              <w:rPr>
                <w:rFonts w:ascii="Calibri" w:hAnsi="Calibri"/>
                <w:sz w:val="22"/>
              </w:rPr>
              <w:t>In line with guidance direction</w:t>
            </w:r>
          </w:p>
        </w:tc>
      </w:tr>
      <w:tr>
        <w:tc>
          <w:tcPr>
            <w:tcW w:type="dxa" w:w="1234"/>
          </w:tcPr>
          <w:p>
            <w:r>
              <w:rPr>
                <w:rFonts w:ascii="Calibri" w:hAnsi="Calibri"/>
                <w:sz w:val="22"/>
              </w:rPr>
              <w:t>Revenue — Digital &amp; Integration ($B)</w:t>
            </w:r>
          </w:p>
        </w:tc>
        <w:tc>
          <w:tcPr>
            <w:tcW w:type="dxa" w:w="1234"/>
          </w:tcPr>
          <w:p>
            <w:r>
              <w:rPr>
                <w:rFonts w:ascii="Calibri" w:hAnsi="Calibri"/>
                <w:sz w:val="22"/>
              </w:rPr>
              <w:t>$0.64B</w:t>
            </w:r>
          </w:p>
        </w:tc>
        <w:tc>
          <w:tcPr>
            <w:tcW w:type="dxa" w:w="1234"/>
          </w:tcPr>
          <w:p>
            <w:r>
              <w:rPr>
                <w:rFonts w:ascii="Calibri" w:hAnsi="Calibri"/>
                <w:sz w:val="22"/>
              </w:rPr>
              <w:t>$0.59B</w:t>
            </w:r>
          </w:p>
        </w:tc>
        <w:tc>
          <w:tcPr>
            <w:tcW w:type="dxa" w:w="1234"/>
          </w:tcPr>
          <w:p>
            <w:r>
              <w:rPr>
                <w:rFonts w:ascii="Calibri" w:hAnsi="Calibri"/>
                <w:sz w:val="22"/>
              </w:rPr>
              <w:t>$0.67B</w:t>
            </w:r>
          </w:p>
        </w:tc>
        <w:tc>
          <w:tcPr>
            <w:tcW w:type="dxa" w:w="1234"/>
          </w:tcPr>
          <w:p>
            <w:r>
              <w:rPr>
                <w:rFonts w:ascii="Calibri" w:hAnsi="Calibri"/>
                <w:b/>
                <w:color w:val="30A46C"/>
                <w:sz w:val="22"/>
              </w:rPr>
              <w:t>+13.5%</w:t>
            </w:r>
          </w:p>
        </w:tc>
        <w:tc>
          <w:tcPr>
            <w:tcW w:type="dxa" w:w="1234"/>
          </w:tcPr>
          <w:p>
            <w:r>
              <w:rPr>
                <w:rFonts w:ascii="Calibri" w:hAnsi="Calibri"/>
                <w:sz w:val="22"/>
              </w:rPr>
              <w:t>Expected to grow globally; ARR &gt;$1B</w:t>
            </w:r>
          </w:p>
        </w:tc>
        <w:tc>
          <w:tcPr>
            <w:tcW w:type="dxa" w:w="1234"/>
          </w:tcPr>
          <w:p>
            <w:r>
              <w:rPr>
                <w:rFonts w:ascii="Calibri" w:hAnsi="Calibri"/>
                <w:sz w:val="22"/>
              </w:rPr>
              <w:t>In line with guidance direction</w:t>
            </w:r>
          </w:p>
        </w:tc>
      </w:tr>
      <w:tr>
        <w:tc>
          <w:tcPr>
            <w:tcW w:type="dxa" w:w="1234"/>
          </w:tcPr>
          <w:p>
            <w:r>
              <w:rPr>
                <w:rFonts w:ascii="Calibri" w:hAnsi="Calibri"/>
                <w:sz w:val="22"/>
              </w:rPr>
              <w:t>Revenue — International ($B)</w:t>
            </w:r>
          </w:p>
        </w:tc>
        <w:tc>
          <w:tcPr>
            <w:tcW w:type="dxa" w:w="1234"/>
          </w:tcPr>
          <w:p>
            <w:r>
              <w:rPr>
                <w:rFonts w:ascii="Calibri" w:hAnsi="Calibri"/>
                <w:sz w:val="22"/>
              </w:rPr>
              <w:t>$6.47B</w:t>
            </w:r>
          </w:p>
        </w:tc>
        <w:tc>
          <w:tcPr>
            <w:tcW w:type="dxa" w:w="1234"/>
          </w:tcPr>
          <w:p>
            <w:r>
              <w:rPr>
                <w:rFonts w:ascii="Calibri" w:hAnsi="Calibri"/>
                <w:sz w:val="22"/>
              </w:rPr>
              <w:t>$6.85B</w:t>
            </w:r>
          </w:p>
        </w:tc>
        <w:tc>
          <w:tcPr>
            <w:tcW w:type="dxa" w:w="1234"/>
          </w:tcPr>
          <w:p>
            <w:r>
              <w:rPr>
                <w:rFonts w:ascii="Calibri" w:hAnsi="Calibri"/>
                <w:sz w:val="22"/>
              </w:rPr>
              <w:t>$6.52B</w:t>
            </w:r>
          </w:p>
        </w:tc>
        <w:tc>
          <w:tcPr>
            <w:tcW w:type="dxa" w:w="1234"/>
          </w:tcPr>
          <w:p>
            <w:r>
              <w:rPr>
                <w:rFonts w:ascii="Calibri" w:hAnsi="Calibri"/>
                <w:b/>
                <w:color w:val="E5484D"/>
                <w:sz w:val="22"/>
              </w:rPr>
              <w:t>−4.8%</w:t>
            </w:r>
          </w:p>
        </w:tc>
        <w:tc>
          <w:tcPr>
            <w:tcW w:type="dxa" w:w="1234"/>
          </w:tcPr>
          <w:p>
            <w:r>
              <w:rPr>
                <w:rFonts w:ascii="Calibri" w:hAnsi="Calibri"/>
                <w:sz w:val="22"/>
              </w:rPr>
              <w:t>Mid-to-high single-digit growth ex-ME</w:t>
            </w:r>
          </w:p>
        </w:tc>
        <w:tc>
          <w:tcPr>
            <w:tcW w:type="dxa" w:w="1234"/>
          </w:tcPr>
          <w:p>
            <w:r>
              <w:rPr>
                <w:rFonts w:ascii="Calibri" w:hAnsi="Calibri"/>
                <w:sz w:val="22"/>
              </w:rPr>
              <w:t>N/A (no numeric guide)</w:t>
            </w:r>
          </w:p>
        </w:tc>
      </w:tr>
      <w:tr>
        <w:tc>
          <w:tcPr>
            <w:tcW w:type="dxa" w:w="1234"/>
          </w:tcPr>
          <w:p>
            <w:r>
              <w:rPr>
                <w:rFonts w:ascii="Calibri" w:hAnsi="Calibri"/>
                <w:sz w:val="22"/>
              </w:rPr>
              <w:t>Revenue — North America ($B)</w:t>
            </w:r>
          </w:p>
        </w:tc>
        <w:tc>
          <w:tcPr>
            <w:tcW w:type="dxa" w:w="1234"/>
          </w:tcPr>
          <w:p>
            <w:r>
              <w:rPr>
                <w:rFonts w:ascii="Calibri" w:hAnsi="Calibri"/>
                <w:sz w:val="22"/>
              </w:rPr>
              <w:t>$2.17B</w:t>
            </w:r>
          </w:p>
        </w:tc>
        <w:tc>
          <w:tcPr>
            <w:tcW w:type="dxa" w:w="1234"/>
          </w:tcPr>
          <w:p>
            <w:r>
              <w:rPr>
                <w:rFonts w:ascii="Calibri" w:hAnsi="Calibri"/>
                <w:sz w:val="22"/>
              </w:rPr>
              <w:t>$1.66B</w:t>
            </w:r>
          </w:p>
        </w:tc>
        <w:tc>
          <w:tcPr>
            <w:tcW w:type="dxa" w:w="1234"/>
          </w:tcPr>
          <w:p>
            <w:r>
              <w:rPr>
                <w:rFonts w:ascii="Calibri" w:hAnsi="Calibri"/>
                <w:sz w:val="22"/>
              </w:rPr>
              <w:t>$2.16B</w:t>
            </w:r>
          </w:p>
        </w:tc>
        <w:tc>
          <w:tcPr>
            <w:tcW w:type="dxa" w:w="1234"/>
          </w:tcPr>
          <w:p>
            <w:r>
              <w:rPr>
                <w:rFonts w:ascii="Calibri" w:hAnsi="Calibri"/>
                <w:b/>
                <w:color w:val="30A46C"/>
                <w:sz w:val="22"/>
              </w:rPr>
              <w:t>+30.1%</w:t>
            </w:r>
          </w:p>
        </w:tc>
        <w:tc>
          <w:tcPr>
            <w:tcW w:type="dxa" w:w="1234"/>
          </w:tcPr>
          <w:p>
            <w:r>
              <w:rPr>
                <w:rFonts w:ascii="Calibri" w:hAnsi="Calibri"/>
                <w:sz w:val="22"/>
              </w:rPr>
              <w:t>Flat sequentially</w:t>
            </w:r>
          </w:p>
        </w:tc>
        <w:tc>
          <w:tcPr>
            <w:tcW w:type="dxa" w:w="1234"/>
          </w:tcPr>
          <w:p>
            <w:r>
              <w:rPr>
                <w:rFonts w:ascii="Calibri" w:hAnsi="Calibri"/>
                <w:sz w:val="22"/>
              </w:rPr>
              <w:t>In line with guidance direction</w:t>
            </w:r>
          </w:p>
        </w:tc>
      </w:tr>
    </w:tbl>
    <w:p>
      <w:r>
        <w:rPr>
          <w:rFonts w:ascii="Calibri" w:hAnsi="Calibri"/>
          <w:i/>
          <w:color w:val="525866"/>
          <w:sz w:val="22"/>
        </w:rPr>
        <w:t>Sources: Visible Alpha Consensus and Actuals Data. All consensus figures as of July 23, 2026.</w:t>
      </w:r>
    </w:p>
    <w:p>
      <w:pPr>
        <w:pStyle w:val="Heading3"/>
      </w:pPr>
      <w:r>
        <w:rPr>
          <w:rFonts w:ascii="Calibri" w:hAnsi="Calibri"/>
          <w:b/>
          <w:color w:val="3B4259"/>
          <w:sz w:val="24"/>
        </w:rPr>
        <w:t>Table 2 — Beat/Miss History (Last 8 Quarters, Top 2 KPIs)</w:t>
      </w:r>
    </w:p>
    <w:p>
      <w:r>
        <w:rPr>
          <w:rFonts w:ascii="Calibri" w:hAnsi="Calibri"/>
          <w:b/>
          <w:color w:val="525866"/>
          <w:sz w:val="22"/>
        </w:rPr>
        <w:t>KPI 1: Total Revenue | KPI 2: Adj.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$8.72B</w:t>
            </w:r>
          </w:p>
        </w:tc>
        <w:tc>
          <w:tcPr>
            <w:tcW w:type="dxa" w:w="1440"/>
          </w:tcPr>
          <w:p>
            <w:r>
              <w:rPr>
                <w:rFonts w:ascii="Calibri" w:hAnsi="Calibri"/>
                <w:sz w:val="22"/>
              </w:rPr>
              <w:t>$8.63B</w:t>
            </w:r>
          </w:p>
        </w:tc>
        <w:tc>
          <w:tcPr>
            <w:tcW w:type="dxa" w:w="1440"/>
          </w:tcPr>
          <w:p>
            <w:r>
              <w:rPr>
                <w:rFonts w:ascii="Calibri" w:hAnsi="Calibri"/>
                <w:b/>
                <w:color w:val="30A46C"/>
                <w:sz w:val="22"/>
              </w:rPr>
              <w:t>+1.0%</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$0.52</w:t>
            </w:r>
          </w:p>
        </w:tc>
        <w:tc>
          <w:tcPr>
            <w:tcW w:type="dxa" w:w="1440"/>
          </w:tcPr>
          <w:p>
            <w:r>
              <w:rPr>
                <w:rFonts w:ascii="Calibri" w:hAnsi="Calibri"/>
                <w:sz w:val="22"/>
              </w:rPr>
              <w:t>$0.51</w:t>
            </w:r>
          </w:p>
        </w:tc>
        <w:tc>
          <w:tcPr>
            <w:tcW w:type="dxa" w:w="1440"/>
          </w:tcPr>
          <w:p>
            <w:r>
              <w:rPr>
                <w:rFonts w:ascii="Calibri" w:hAnsi="Calibri"/>
                <w:b/>
                <w:color w:val="30A46C"/>
                <w:sz w:val="22"/>
              </w:rPr>
              <w:t>+2.0%</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$9.75B</w:t>
            </w:r>
          </w:p>
        </w:tc>
        <w:tc>
          <w:tcPr>
            <w:tcW w:type="dxa" w:w="1440"/>
          </w:tcPr>
          <w:p>
            <w:r>
              <w:rPr>
                <w:rFonts w:ascii="Calibri" w:hAnsi="Calibri"/>
                <w:sz w:val="22"/>
              </w:rPr>
              <w:t>$9.56B</w:t>
            </w:r>
          </w:p>
        </w:tc>
        <w:tc>
          <w:tcPr>
            <w:tcW w:type="dxa" w:w="1440"/>
          </w:tcPr>
          <w:p>
            <w:r>
              <w:rPr>
                <w:rFonts w:ascii="Calibri" w:hAnsi="Calibri"/>
                <w:b/>
                <w:color w:val="30A46C"/>
                <w:sz w:val="22"/>
              </w:rPr>
              <w:t>+1.9%</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$0.78</w:t>
            </w:r>
          </w:p>
        </w:tc>
        <w:tc>
          <w:tcPr>
            <w:tcW w:type="dxa" w:w="1440"/>
          </w:tcPr>
          <w:p>
            <w:r>
              <w:rPr>
                <w:rFonts w:ascii="Calibri" w:hAnsi="Calibri"/>
                <w:sz w:val="22"/>
              </w:rPr>
              <w:t>$0.75</w:t>
            </w:r>
          </w:p>
        </w:tc>
        <w:tc>
          <w:tcPr>
            <w:tcW w:type="dxa" w:w="1440"/>
          </w:tcPr>
          <w:p>
            <w:r>
              <w:rPr>
                <w:rFonts w:ascii="Calibri" w:hAnsi="Calibri"/>
                <w:b/>
                <w:color w:val="30A46C"/>
                <w:sz w:val="22"/>
              </w:rPr>
              <w:t>+4.1%</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$8.93B</w:t>
            </w:r>
          </w:p>
        </w:tc>
        <w:tc>
          <w:tcPr>
            <w:tcW w:type="dxa" w:w="1440"/>
          </w:tcPr>
          <w:p>
            <w:r>
              <w:rPr>
                <w:rFonts w:ascii="Calibri" w:hAnsi="Calibri"/>
                <w:sz w:val="22"/>
              </w:rPr>
              <w:t>$8.88B</w:t>
            </w:r>
          </w:p>
        </w:tc>
        <w:tc>
          <w:tcPr>
            <w:tcW w:type="dxa" w:w="1440"/>
          </w:tcPr>
          <w:p>
            <w:r>
              <w:rPr>
                <w:rFonts w:ascii="Calibri" w:hAnsi="Calibri"/>
                <w:b/>
                <w:color w:val="30A46C"/>
                <w:sz w:val="22"/>
              </w:rPr>
              <w:t>+0.5%</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$0.69</w:t>
            </w:r>
          </w:p>
        </w:tc>
        <w:tc>
          <w:tcPr>
            <w:tcW w:type="dxa" w:w="1440"/>
          </w:tcPr>
          <w:p>
            <w:r>
              <w:rPr>
                <w:rFonts w:ascii="Calibri" w:hAnsi="Calibri"/>
                <w:sz w:val="22"/>
              </w:rPr>
              <w:t>$0.66</w:t>
            </w:r>
          </w:p>
        </w:tc>
        <w:tc>
          <w:tcPr>
            <w:tcW w:type="dxa" w:w="1440"/>
          </w:tcPr>
          <w:p>
            <w:r>
              <w:rPr>
                <w:rFonts w:ascii="Calibri" w:hAnsi="Calibri"/>
                <w:b/>
                <w:color w:val="30A46C"/>
                <w:sz w:val="22"/>
              </w:rPr>
              <w:t>+4.7%</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$9.40B</w:t>
            </w:r>
          </w:p>
        </w:tc>
        <w:tc>
          <w:tcPr>
            <w:tcW w:type="dxa" w:w="1440"/>
          </w:tcPr>
          <w:p>
            <w:r>
              <w:rPr>
                <w:rFonts w:ascii="Calibri" w:hAnsi="Calibri"/>
                <w:sz w:val="22"/>
              </w:rPr>
              <w:t>$8.48B</w:t>
            </w:r>
          </w:p>
        </w:tc>
        <w:tc>
          <w:tcPr>
            <w:tcW w:type="dxa" w:w="1440"/>
          </w:tcPr>
          <w:p>
            <w:r>
              <w:rPr>
                <w:rFonts w:ascii="Calibri" w:hAnsi="Calibri"/>
                <w:b/>
                <w:color w:val="30A46C"/>
                <w:sz w:val="22"/>
              </w:rPr>
              <w:t>+10.9%</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$0.72</w:t>
            </w:r>
          </w:p>
        </w:tc>
        <w:tc>
          <w:tcPr>
            <w:tcW w:type="dxa" w:w="1440"/>
          </w:tcPr>
          <w:p>
            <w:r>
              <w:rPr>
                <w:rFonts w:ascii="Calibri" w:hAnsi="Calibri"/>
                <w:sz w:val="22"/>
              </w:rPr>
              <w:t>$0.72</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$9.30B</w:t>
            </w:r>
          </w:p>
        </w:tc>
        <w:tc>
          <w:tcPr>
            <w:tcW w:type="dxa" w:w="1440"/>
          </w:tcPr>
          <w:p>
            <w:r>
              <w:rPr>
                <w:rFonts w:ascii="Calibri" w:hAnsi="Calibri"/>
                <w:sz w:val="22"/>
              </w:rPr>
              <w:t>$8.60B</w:t>
            </w:r>
          </w:p>
        </w:tc>
        <w:tc>
          <w:tcPr>
            <w:tcW w:type="dxa" w:w="1440"/>
          </w:tcPr>
          <w:p>
            <w:r>
              <w:rPr>
                <w:rFonts w:ascii="Calibri" w:hAnsi="Calibri"/>
                <w:b/>
                <w:color w:val="30A46C"/>
                <w:sz w:val="22"/>
              </w:rPr>
              <w:t>+8.2%</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$0.70</w:t>
            </w:r>
          </w:p>
        </w:tc>
        <w:tc>
          <w:tcPr>
            <w:tcW w:type="dxa" w:w="1440"/>
          </w:tcPr>
          <w:p>
            <w:r>
              <w:rPr>
                <w:rFonts w:ascii="Calibri" w:hAnsi="Calibri"/>
                <w:sz w:val="22"/>
              </w:rPr>
              <w:t>$0.74</w:t>
            </w:r>
          </w:p>
        </w:tc>
        <w:tc>
          <w:tcPr>
            <w:tcW w:type="dxa" w:w="1440"/>
          </w:tcPr>
          <w:p>
            <w:r>
              <w:rPr>
                <w:rFonts w:ascii="Calibri" w:hAnsi="Calibri"/>
                <w:b/>
                <w:color w:val="E5484D"/>
                <w:sz w:val="22"/>
              </w:rPr>
              <w:t>−5.4%</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$10.14B</w:t>
            </w:r>
          </w:p>
        </w:tc>
        <w:tc>
          <w:tcPr>
            <w:tcW w:type="dxa" w:w="1440"/>
          </w:tcPr>
          <w:p>
            <w:r>
              <w:rPr>
                <w:rFonts w:ascii="Calibri" w:hAnsi="Calibri"/>
                <w:sz w:val="22"/>
              </w:rPr>
              <w:t>$9.22B</w:t>
            </w:r>
          </w:p>
        </w:tc>
        <w:tc>
          <w:tcPr>
            <w:tcW w:type="dxa" w:w="1440"/>
          </w:tcPr>
          <w:p>
            <w:r>
              <w:rPr>
                <w:rFonts w:ascii="Calibri" w:hAnsi="Calibri"/>
                <w:b/>
                <w:color w:val="30A46C"/>
                <w:sz w:val="22"/>
              </w:rPr>
              <w:t>+10.1%</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$0.90</w:t>
            </w:r>
          </w:p>
        </w:tc>
        <w:tc>
          <w:tcPr>
            <w:tcW w:type="dxa" w:w="1440"/>
          </w:tcPr>
          <w:p>
            <w:r>
              <w:rPr>
                <w:rFonts w:ascii="Calibri" w:hAnsi="Calibri"/>
                <w:sz w:val="22"/>
              </w:rPr>
              <w:t>$0.90</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$10.01B</w:t>
            </w:r>
          </w:p>
        </w:tc>
        <w:tc>
          <w:tcPr>
            <w:tcW w:type="dxa" w:w="1440"/>
          </w:tcPr>
          <w:p>
            <w:r>
              <w:rPr>
                <w:rFonts w:ascii="Calibri" w:hAnsi="Calibri"/>
                <w:sz w:val="22"/>
              </w:rPr>
              <w:t>$9.26B</w:t>
            </w:r>
          </w:p>
        </w:tc>
        <w:tc>
          <w:tcPr>
            <w:tcW w:type="dxa" w:w="1440"/>
          </w:tcPr>
          <w:p>
            <w:r>
              <w:rPr>
                <w:rFonts w:ascii="Calibri" w:hAnsi="Calibri"/>
                <w:b/>
                <w:color w:val="30A46C"/>
                <w:sz w:val="22"/>
              </w:rPr>
              <w:t>+8.2%</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$0.84</w:t>
            </w:r>
          </w:p>
        </w:tc>
        <w:tc>
          <w:tcPr>
            <w:tcW w:type="dxa" w:w="1440"/>
          </w:tcPr>
          <w:p>
            <w:r>
              <w:rPr>
                <w:rFonts w:ascii="Calibri" w:hAnsi="Calibri"/>
                <w:sz w:val="22"/>
              </w:rPr>
              <w:t>$0.89</w:t>
            </w:r>
          </w:p>
        </w:tc>
        <w:tc>
          <w:tcPr>
            <w:tcW w:type="dxa" w:w="1440"/>
          </w:tcPr>
          <w:p>
            <w:r>
              <w:rPr>
                <w:rFonts w:ascii="Calibri" w:hAnsi="Calibri"/>
                <w:b/>
                <w:color w:val="E5484D"/>
                <w:sz w:val="22"/>
              </w:rPr>
              <w:t>−5.1%</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$9.98B</w:t>
            </w:r>
          </w:p>
        </w:tc>
        <w:tc>
          <w:tcPr>
            <w:tcW w:type="dxa" w:w="1440"/>
          </w:tcPr>
          <w:p>
            <w:r>
              <w:rPr>
                <w:rFonts w:ascii="Calibri" w:hAnsi="Calibri"/>
                <w:sz w:val="22"/>
              </w:rPr>
              <w:t>$9.08B</w:t>
            </w:r>
          </w:p>
        </w:tc>
        <w:tc>
          <w:tcPr>
            <w:tcW w:type="dxa" w:w="1440"/>
          </w:tcPr>
          <w:p>
            <w:r>
              <w:rPr>
                <w:rFonts w:ascii="Calibri" w:hAnsi="Calibri"/>
                <w:b/>
                <w:color w:val="30A46C"/>
                <w:sz w:val="22"/>
              </w:rPr>
              <w:t>+9.9%</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$0.85</w:t>
            </w:r>
          </w:p>
        </w:tc>
        <w:tc>
          <w:tcPr>
            <w:tcW w:type="dxa" w:w="1440"/>
          </w:tcPr>
          <w:p>
            <w:r>
              <w:rPr>
                <w:rFonts w:ascii="Calibri" w:hAnsi="Calibri"/>
                <w:sz w:val="22"/>
              </w:rPr>
              <w:t>$0.83</w:t>
            </w:r>
          </w:p>
        </w:tc>
        <w:tc>
          <w:tcPr>
            <w:tcW w:type="dxa" w:w="1440"/>
          </w:tcPr>
          <w:p>
            <w:r>
              <w:rPr>
                <w:rFonts w:ascii="Calibri" w:hAnsi="Calibri"/>
                <w:b/>
                <w:color w:val="30A46C"/>
                <w:sz w:val="22"/>
              </w:rPr>
              <w:t>+2.4%</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i/>
          <w:color w:val="525866"/>
          <w:sz w:val="22"/>
        </w:rPr>
        <w:t>SLB has beaten revenue consensus in 7 of the last 8 quarters, often by a wide margin — the large beats in 2024–2025 reflect ChampionX consolidation and strong international activity; the more recent beats are narrower as the Middle East conflict has compressed the upside. EPS beats are less consistent, with two misses in the trailing 8 quarters.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provided </w:t>
      </w:r>
      <w:r>
        <w:rPr>
          <w:rFonts w:ascii="Calibri" w:hAnsi="Calibri"/>
          <w:b/>
          <w:color w:val="525866"/>
          <w:sz w:val="22"/>
        </w:rPr>
        <w:t>no numeric full-year guidance</w:t>
      </w:r>
      <w:r>
        <w:rPr>
          <w:rFonts w:ascii="Calibri" w:hAnsi="Calibri"/>
          <w:color w:val="525866"/>
          <w:sz w:val="22"/>
        </w:rPr>
        <w:t xml:space="preserve"> at Q1 earnings due to geopolitical uncertainty, and nothing has changed that posture since — the only post-earnings update of note is the </w:t>
      </w:r>
      <w:r>
        <w:rPr>
          <w:rFonts w:ascii="Calibri" w:hAnsi="Calibri"/>
          <w:b/>
          <w:color w:val="525866"/>
          <w:sz w:val="22"/>
        </w:rPr>
        <w:t>Digital Investor Day (June 17)</w:t>
      </w:r>
      <w:r>
        <w:rPr>
          <w:rFonts w:ascii="Calibri" w:hAnsi="Calibri"/>
          <w:color w:val="525866"/>
          <w:sz w:val="22"/>
        </w:rPr>
        <w:t xml:space="preserve"> which reinforced long-term digital targets but offered no Q2-specific revision. Tone is cautiously constructive: management believes the Middle East conflict structurally increases the case for upstream investment, but near-term visibility remains limited.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24)</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Revenue</w:t>
            </w:r>
          </w:p>
        </w:tc>
        <w:tc>
          <w:tcPr>
            <w:tcW w:type="dxa" w:w="1728"/>
          </w:tcPr>
          <w:p>
            <w:r>
              <w:rPr>
                <w:rFonts w:ascii="Calibri" w:hAnsi="Calibri"/>
                <w:sz w:val="22"/>
              </w:rPr>
              <w:t>Scenario-based: ME disruption persists through mid-Q2 then eases; sequential ME decline fully offset by other intl markets; intl ex-ME mid-to-high single-digit growth; NA flat sequentially</w:t>
            </w:r>
          </w:p>
        </w:tc>
        <w:tc>
          <w:tcPr>
            <w:tcW w:type="dxa" w:w="1728"/>
          </w:tcPr>
          <w:p>
            <w:r>
              <w:rPr>
                <w:rFonts w:ascii="Calibri" w:hAnsi="Calibri"/>
                <w:sz w:val="22"/>
              </w:rPr>
              <w:t>—</w:t>
            </w:r>
          </w:p>
        </w:tc>
        <w:tc>
          <w:tcPr>
            <w:tcW w:type="dxa" w:w="1728"/>
          </w:tcPr>
          <w:p>
            <w:r>
              <w:rPr>
                <w:rFonts w:ascii="Calibri" w:hAnsi="Calibri"/>
                <w:sz w:val="22"/>
              </w:rPr>
              <w:t>$8.68B</w:t>
            </w:r>
          </w:p>
        </w:tc>
        <w:tc>
          <w:tcPr>
            <w:tcW w:type="dxa" w:w="1728"/>
          </w:tcPr>
          <w:p>
            <w:r>
              <w:rPr>
                <w:rFonts w:ascii="Calibri" w:hAnsi="Calibri"/>
                <w:sz w:val="22"/>
              </w:rPr>
              <w:t>No numeric guide issued; scenario framing unchanged since Q1 call</w:t>
            </w:r>
          </w:p>
        </w:tc>
      </w:tr>
      <w:tr>
        <w:tc>
          <w:tcPr>
            <w:tcW w:type="dxa" w:w="1728"/>
          </w:tcPr>
          <w:p>
            <w:r>
              <w:rPr>
                <w:rFonts w:ascii="Calibri" w:hAnsi="Calibri"/>
                <w:sz w:val="22"/>
              </w:rPr>
              <w:t>Q2 Adj. EPS</w:t>
            </w:r>
          </w:p>
        </w:tc>
        <w:tc>
          <w:tcPr>
            <w:tcW w:type="dxa" w:w="1728"/>
          </w:tcPr>
          <w:p>
            <w:r>
              <w:rPr>
                <w:rFonts w:ascii="Calibri" w:hAnsi="Calibri"/>
                <w:sz w:val="22"/>
              </w:rPr>
              <w:t>ME conflict to negatively impact Q2 EPS by incremental −$0.06 to −$0.08 vs Q1; offset by rest of intl</w:t>
            </w:r>
          </w:p>
        </w:tc>
        <w:tc>
          <w:tcPr>
            <w:tcW w:type="dxa" w:w="1728"/>
          </w:tcPr>
          <w:p>
            <w:r>
              <w:rPr>
                <w:rFonts w:ascii="Calibri" w:hAnsi="Calibri"/>
                <w:sz w:val="22"/>
              </w:rPr>
              <w:t>—</w:t>
            </w:r>
          </w:p>
        </w:tc>
        <w:tc>
          <w:tcPr>
            <w:tcW w:type="dxa" w:w="1728"/>
          </w:tcPr>
          <w:p>
            <w:r>
              <w:rPr>
                <w:rFonts w:ascii="Calibri" w:hAnsi="Calibri"/>
                <w:sz w:val="22"/>
              </w:rPr>
              <w:t>$0.51</w:t>
            </w:r>
          </w:p>
        </w:tc>
        <w:tc>
          <w:tcPr>
            <w:tcW w:type="dxa" w:w="1728"/>
          </w:tcPr>
          <w:p>
            <w:r>
              <w:rPr>
                <w:rFonts w:ascii="Calibri" w:hAnsi="Calibri"/>
                <w:sz w:val="22"/>
              </w:rPr>
              <w:t>Consensus implies ~−$0.01 vs Q1 actual of $0.52; within the guided range</w:t>
            </w:r>
          </w:p>
        </w:tc>
      </w:tr>
      <w:tr>
        <w:tc>
          <w:tcPr>
            <w:tcW w:type="dxa" w:w="1728"/>
          </w:tcPr>
          <w:p>
            <w:r>
              <w:rPr>
                <w:rFonts w:ascii="Calibri" w:hAnsi="Calibri"/>
                <w:sz w:val="22"/>
              </w:rPr>
              <w:t>FY 2026 Capex</w:t>
            </w:r>
          </w:p>
        </w:tc>
        <w:tc>
          <w:tcPr>
            <w:tcW w:type="dxa" w:w="1728"/>
          </w:tcPr>
          <w:p>
            <w:r>
              <w:rPr>
                <w:rFonts w:ascii="Calibri" w:hAnsi="Calibri"/>
                <w:sz w:val="22"/>
              </w:rPr>
              <w:t>~$2.5B total capital investments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no post-earnings update</w:t>
            </w:r>
          </w:p>
        </w:tc>
      </w:tr>
      <w:tr>
        <w:tc>
          <w:tcPr>
            <w:tcW w:type="dxa" w:w="1728"/>
          </w:tcPr>
          <w:p>
            <w:r>
              <w:rPr>
                <w:rFonts w:ascii="Calibri" w:hAnsi="Calibri"/>
                <w:sz w:val="22"/>
              </w:rPr>
              <w:t>FY 2026 Shareholder Returns</w:t>
            </w:r>
          </w:p>
        </w:tc>
        <w:tc>
          <w:tcPr>
            <w:tcW w:type="dxa" w:w="1728"/>
          </w:tcPr>
          <w:p>
            <w:r>
              <w:rPr>
                <w:rFonts w:ascii="Calibri" w:hAnsi="Calibri"/>
                <w:sz w:val="22"/>
              </w:rPr>
              <w:t>&gt;$4B total (dividends + buybacks); min $2.4B buybacks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no post-earnings update</w:t>
            </w:r>
          </w:p>
        </w:tc>
      </w:tr>
      <w:tr>
        <w:tc>
          <w:tcPr>
            <w:tcW w:type="dxa" w:w="1728"/>
          </w:tcPr>
          <w:p>
            <w:r>
              <w:rPr>
                <w:rFonts w:ascii="Calibri" w:hAnsi="Calibri"/>
                <w:sz w:val="22"/>
              </w:rPr>
              <w:t>Data Center Revenue Run Rate</w:t>
            </w:r>
          </w:p>
        </w:tc>
        <w:tc>
          <w:tcPr>
            <w:tcW w:type="dxa" w:w="1728"/>
          </w:tcPr>
          <w:p>
            <w:r>
              <w:rPr>
                <w:rFonts w:ascii="Calibri" w:hAnsi="Calibri"/>
                <w:sz w:val="22"/>
              </w:rPr>
              <w:t>Reach or exceed $1B run rate by year-end 2026; growth to accelerate in 2027</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Reinforced at Digital Investor Day (Jun 17); no change to target</w:t>
            </w:r>
          </w:p>
        </w:tc>
      </w:tr>
      <w:tr>
        <w:tc>
          <w:tcPr>
            <w:tcW w:type="dxa" w:w="1728"/>
          </w:tcPr>
          <w:p>
            <w:r>
              <w:rPr>
                <w:rFonts w:ascii="Calibri" w:hAnsi="Calibri"/>
                <w:sz w:val="22"/>
              </w:rPr>
              <w:t>Digital ARR</w:t>
            </w:r>
          </w:p>
        </w:tc>
        <w:tc>
          <w:tcPr>
            <w:tcW w:type="dxa" w:w="1728"/>
          </w:tcPr>
          <w:p>
            <w:r>
              <w:rPr>
                <w:rFonts w:ascii="Calibri" w:hAnsi="Calibri"/>
                <w:sz w:val="22"/>
              </w:rPr>
              <w:t>$1.02B at Q1 end; 15% YoY growth; Digital EBITDA margin ≥35% FY</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Long-term target raised at Digital Investor Day (Jun 17): double ARR to ~$2B by 2030; 10–15% CAGR; EBITDA margin 38–42% by 2030</w:t>
            </w:r>
          </w:p>
        </w:tc>
      </w:tr>
      <w:tr>
        <w:tc>
          <w:tcPr>
            <w:tcW w:type="dxa" w:w="1728"/>
          </w:tcPr>
          <w:p>
            <w:r>
              <w:rPr>
                <w:rFonts w:ascii="Calibri" w:hAnsi="Calibri"/>
                <w:sz w:val="22"/>
              </w:rPr>
              <w:t>OneSubsea Bookings</w:t>
            </w:r>
          </w:p>
        </w:tc>
        <w:tc>
          <w:tcPr>
            <w:tcW w:type="dxa" w:w="1728"/>
          </w:tcPr>
          <w:p>
            <w:r>
              <w:rPr>
                <w:rFonts w:ascii="Calibri" w:hAnsi="Calibri"/>
                <w:sz w:val="22"/>
              </w:rPr>
              <w:t>Higher bookings in 2026 vs 2025; $9B in awards over 2026–2027; potential to outperform if FIDs accelerate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offshore FID pipeline remains constructive</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w:t>
      </w:r>
      <w:r>
        <w:rPr>
          <w:rFonts w:ascii="Calibri" w:hAnsi="Calibri"/>
          <w:b/>
          <w:color w:val="525866"/>
          <w:sz w:val="22"/>
        </w:rPr>
        <w:t>modestly lower</w:t>
      </w:r>
      <w:r>
        <w:rPr>
          <w:rFonts w:ascii="Calibri" w:hAnsi="Calibri"/>
          <w:color w:val="525866"/>
          <w:sz w:val="22"/>
        </w:rPr>
        <w:t xml:space="preserve"> since the Q1 print — Q2 revenue is down ~0.5% and EPS down ~1.6% from the post-earnings baseline — with the sharpest cuts coming in early July as analysts grew more cautious on the pace of Middle East recovery. The gap between consensus and guidance is not a risk per se (management gave no numeric guide), but the </w:t>
      </w:r>
      <w:r>
        <w:rPr>
          <w:rFonts w:ascii="Calibri" w:hAnsi="Calibri"/>
          <w:b/>
          <w:color w:val="525866"/>
          <w:sz w:val="22"/>
        </w:rPr>
        <w:t>FY 2026 EPS estimate has been cut ~3% since Q1 earnings</w:t>
      </w:r>
      <w:r>
        <w:rPr>
          <w:rFonts w:ascii="Calibri" w:hAnsi="Calibri"/>
          <w:color w:val="525866"/>
          <w:sz w:val="22"/>
        </w:rPr>
        <w:t>, suggesting the street is pricing in a slower-than-hoped H2 recovery.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~5 Days Post Q1 Earnings (May 1, 2026)</w:t>
            </w:r>
          </w:p>
        </w:tc>
        <w:tc>
          <w:tcPr>
            <w:tcW w:type="dxa" w:w="1080"/>
            <w:shd w:val="clear" w:color="auto" w:fill="3B4259"/>
          </w:tcPr>
          <w:p>
            <w:r>
              <w:rPr>
                <w:rFonts w:ascii="Calibri" w:hAnsi="Calibri"/>
                <w:b/>
                <w:color w:val="FFFFFF"/>
                <w:sz w:val="22"/>
              </w:rPr>
              <w:t>Current Consensus (Jul 23,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w:t>
            </w:r>
          </w:p>
        </w:tc>
      </w:tr>
      <w:tr>
        <w:tc>
          <w:tcPr>
            <w:tcW w:type="dxa" w:w="1080"/>
          </w:tcPr>
          <w:p>
            <w:r>
              <w:rPr>
                <w:rFonts w:ascii="Calibri" w:hAnsi="Calibri"/>
                <w:sz w:val="22"/>
              </w:rPr>
              <w:t>Revenue (Q2 2026)</w:t>
            </w:r>
          </w:p>
        </w:tc>
        <w:tc>
          <w:tcPr>
            <w:tcW w:type="dxa" w:w="1080"/>
          </w:tcPr>
          <w:p>
            <w:r>
              <w:rPr>
                <w:rFonts w:ascii="Calibri" w:hAnsi="Calibri"/>
                <w:sz w:val="22"/>
              </w:rPr>
              <w:t>$8.69B</w:t>
            </w:r>
          </w:p>
        </w:tc>
        <w:tc>
          <w:tcPr>
            <w:tcW w:type="dxa" w:w="1080"/>
          </w:tcPr>
          <w:p>
            <w:r>
              <w:rPr>
                <w:rFonts w:ascii="Calibri" w:hAnsi="Calibri"/>
                <w:sz w:val="22"/>
              </w:rPr>
              <w:t>$8.68B</w:t>
            </w:r>
          </w:p>
        </w:tc>
        <w:tc>
          <w:tcPr>
            <w:tcW w:type="dxa" w:w="1080"/>
          </w:tcPr>
          <w:p>
            <w:r>
              <w:rPr>
                <w:rFonts w:ascii="Calibri" w:hAnsi="Calibri"/>
                <w:sz w:val="22"/>
              </w:rPr>
              <w:t>−0.1%</w:t>
            </w:r>
          </w:p>
        </w:tc>
        <w:tc>
          <w:tcPr>
            <w:tcW w:type="dxa" w:w="1080"/>
          </w:tcPr>
          <w:p>
            <w:r>
              <w:rPr>
                <w:rFonts w:ascii="Calibri" w:hAnsi="Calibri"/>
                <w:sz w:val="22"/>
              </w:rPr>
              <w:t>Scenario-based (no numeric)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(FY 2026)</w:t>
            </w:r>
          </w:p>
        </w:tc>
        <w:tc>
          <w:tcPr>
            <w:tcW w:type="dxa" w:w="1080"/>
          </w:tcPr>
          <w:p>
            <w:r>
              <w:rPr>
                <w:rFonts w:ascii="Calibri" w:hAnsi="Calibri"/>
                <w:sz w:val="22"/>
              </w:rPr>
              <w:t>$36.49B</w:t>
            </w:r>
          </w:p>
        </w:tc>
        <w:tc>
          <w:tcPr>
            <w:tcW w:type="dxa" w:w="1080"/>
          </w:tcPr>
          <w:p>
            <w:r>
              <w:rPr>
                <w:rFonts w:ascii="Calibri" w:hAnsi="Calibri"/>
                <w:sz w:val="22"/>
              </w:rPr>
              <w:t>$36.46B</w:t>
            </w:r>
          </w:p>
        </w:tc>
        <w:tc>
          <w:tcPr>
            <w:tcW w:type="dxa" w:w="1080"/>
          </w:tcPr>
          <w:p>
            <w:r>
              <w:rPr>
                <w:rFonts w:ascii="Calibri" w:hAnsi="Calibri"/>
                <w:sz w:val="22"/>
              </w:rPr>
              <w:t>−0.1%</w:t>
            </w:r>
          </w:p>
        </w:tc>
        <w:tc>
          <w:tcPr>
            <w:tcW w:type="dxa" w:w="1080"/>
          </w:tcPr>
          <w:p>
            <w:r>
              <w:rPr>
                <w:rFonts w:ascii="Calibri" w:hAnsi="Calibri"/>
                <w:sz w:val="22"/>
              </w:rPr>
              <w:t>No numeric FY guide issued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Operating EPS (Q2 2026)</w:t>
            </w:r>
          </w:p>
        </w:tc>
        <w:tc>
          <w:tcPr>
            <w:tcW w:type="dxa" w:w="1080"/>
          </w:tcPr>
          <w:p>
            <w:r>
              <w:rPr>
                <w:rFonts w:ascii="Calibri" w:hAnsi="Calibri"/>
                <w:sz w:val="22"/>
              </w:rPr>
              <w:t>$0.515</w:t>
            </w:r>
          </w:p>
        </w:tc>
        <w:tc>
          <w:tcPr>
            <w:tcW w:type="dxa" w:w="1080"/>
          </w:tcPr>
          <w:p>
            <w:r>
              <w:rPr>
                <w:rFonts w:ascii="Calibri" w:hAnsi="Calibri"/>
                <w:sz w:val="22"/>
              </w:rPr>
              <w:t>$0.506</w:t>
            </w:r>
          </w:p>
        </w:tc>
        <w:tc>
          <w:tcPr>
            <w:tcW w:type="dxa" w:w="1080"/>
          </w:tcPr>
          <w:p>
            <w:r>
              <w:rPr>
                <w:rFonts w:ascii="Calibri" w:hAnsi="Calibri"/>
                <w:b/>
                <w:color w:val="E5484D"/>
                <w:sz w:val="22"/>
              </w:rPr>
              <w:t>−1.7%</w:t>
            </w:r>
          </w:p>
        </w:tc>
        <w:tc>
          <w:tcPr>
            <w:tcW w:type="dxa" w:w="1080"/>
          </w:tcPr>
          <w:p>
            <w:r>
              <w:rPr>
                <w:rFonts w:ascii="Calibri" w:hAnsi="Calibri"/>
                <w:sz w:val="22"/>
              </w:rPr>
              <w:t>ME impact −$0.06–$0.08 vs Q1; offset by intl</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guided range</w:t>
            </w:r>
          </w:p>
        </w:tc>
      </w:tr>
      <w:tr>
        <w:tc>
          <w:tcPr>
            <w:tcW w:type="dxa" w:w="1080"/>
          </w:tcPr>
          <w:p>
            <w:r>
              <w:rPr>
                <w:rFonts w:ascii="Calibri" w:hAnsi="Calibri"/>
                <w:sz w:val="22"/>
              </w:rPr>
              <w:t>Adj. Operating EPS (FY 2026)</w:t>
            </w:r>
          </w:p>
        </w:tc>
        <w:tc>
          <w:tcPr>
            <w:tcW w:type="dxa" w:w="1080"/>
          </w:tcPr>
          <w:p>
            <w:r>
              <w:rPr>
                <w:rFonts w:ascii="Calibri" w:hAnsi="Calibri"/>
                <w:sz w:val="22"/>
              </w:rPr>
              <w:t>$2.59</w:t>
            </w:r>
          </w:p>
        </w:tc>
        <w:tc>
          <w:tcPr>
            <w:tcW w:type="dxa" w:w="1080"/>
          </w:tcPr>
          <w:p>
            <w:r>
              <w:rPr>
                <w:rFonts w:ascii="Calibri" w:hAnsi="Calibri"/>
                <w:sz w:val="22"/>
              </w:rPr>
              <w:t>$2.51</w:t>
            </w:r>
          </w:p>
        </w:tc>
        <w:tc>
          <w:tcPr>
            <w:tcW w:type="dxa" w:w="1080"/>
          </w:tcPr>
          <w:p>
            <w:r>
              <w:rPr>
                <w:rFonts w:ascii="Calibri" w:hAnsi="Calibri"/>
                <w:b/>
                <w:color w:val="E5484D"/>
                <w:sz w:val="22"/>
              </w:rPr>
              <w:t>−3.0%</w:t>
            </w:r>
          </w:p>
        </w:tc>
        <w:tc>
          <w:tcPr>
            <w:tcW w:type="dxa" w:w="1080"/>
          </w:tcPr>
          <w:p>
            <w:r>
              <w:rPr>
                <w:rFonts w:ascii="Calibri" w:hAnsi="Calibri"/>
                <w:sz w:val="22"/>
              </w:rPr>
              <w:t>No numeric FY guide issued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 (Q2 2026)</w:t>
            </w:r>
          </w:p>
        </w:tc>
        <w:tc>
          <w:tcPr>
            <w:tcW w:type="dxa" w:w="1080"/>
          </w:tcPr>
          <w:p>
            <w:r>
              <w:rPr>
                <w:rFonts w:ascii="Calibri" w:hAnsi="Calibri"/>
                <w:sz w:val="22"/>
              </w:rPr>
              <w:t>$1.790B</w:t>
            </w:r>
          </w:p>
        </w:tc>
        <w:tc>
          <w:tcPr>
            <w:tcW w:type="dxa" w:w="1080"/>
          </w:tcPr>
          <w:p>
            <w:r>
              <w:rPr>
                <w:rFonts w:ascii="Calibri" w:hAnsi="Calibri"/>
                <w:sz w:val="22"/>
              </w:rPr>
              <w:t>$1.774B</w:t>
            </w:r>
          </w:p>
        </w:tc>
        <w:tc>
          <w:tcPr>
            <w:tcW w:type="dxa" w:w="1080"/>
          </w:tcPr>
          <w:p>
            <w:r>
              <w:rPr>
                <w:rFonts w:ascii="Calibri" w:hAnsi="Calibri"/>
                <w:sz w:val="22"/>
              </w:rPr>
              <w:t>−0.9%</w:t>
            </w:r>
          </w:p>
        </w:tc>
        <w:tc>
          <w:tcPr>
            <w:tcW w:type="dxa" w:w="1080"/>
          </w:tcPr>
          <w:p>
            <w:r>
              <w:rPr>
                <w:rFonts w:ascii="Calibri" w:hAnsi="Calibri"/>
                <w:sz w:val="22"/>
              </w:rPr>
              <w:t>Digital EBITDA margin ≥35%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 (FY 2026)</w:t>
            </w:r>
          </w:p>
        </w:tc>
        <w:tc>
          <w:tcPr>
            <w:tcW w:type="dxa" w:w="1080"/>
          </w:tcPr>
          <w:p>
            <w:r>
              <w:rPr>
                <w:rFonts w:ascii="Calibri" w:hAnsi="Calibri"/>
                <w:sz w:val="22"/>
              </w:rPr>
              <w:t>$8.09B</w:t>
            </w:r>
          </w:p>
        </w:tc>
        <w:tc>
          <w:tcPr>
            <w:tcW w:type="dxa" w:w="1080"/>
          </w:tcPr>
          <w:p>
            <w:r>
              <w:rPr>
                <w:rFonts w:ascii="Calibri" w:hAnsi="Calibri"/>
                <w:sz w:val="22"/>
              </w:rPr>
              <w:t>$7.93B</w:t>
            </w:r>
          </w:p>
        </w:tc>
        <w:tc>
          <w:tcPr>
            <w:tcW w:type="dxa" w:w="1080"/>
          </w:tcPr>
          <w:p>
            <w:r>
              <w:rPr>
                <w:rFonts w:ascii="Calibri" w:hAnsi="Calibri"/>
                <w:b/>
                <w:color w:val="E5484D"/>
                <w:sz w:val="22"/>
              </w:rPr>
              <w:t>−2.0%</w:t>
            </w:r>
          </w:p>
        </w:tc>
        <w:tc>
          <w:tcPr>
            <w:tcW w:type="dxa" w:w="1080"/>
          </w:tcPr>
          <w:p>
            <w:r>
              <w:rPr>
                <w:rFonts w:ascii="Calibri" w:hAnsi="Calibri"/>
                <w:sz w:val="22"/>
              </w:rPr>
              <w:t>No numeric FY guide issued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The most notable revision is the FY 2026 EPS cut of ~3% since Q1 earnings, driven by a more cautious Middle East recovery assumption baked in during early July. Q2-specific estimates have been relatively stable, suggesting the street has largely settled on its near-term view.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SLB has been a </w:t>
      </w:r>
      <w:r>
        <w:rPr>
          <w:rFonts w:ascii="Calibri" w:hAnsi="Calibri"/>
          <w:b/>
          <w:color w:val="525866"/>
          <w:sz w:val="22"/>
        </w:rPr>
        <w:t>significant underperformer</w:t>
      </w:r>
      <w:r>
        <w:rPr>
          <w:rFonts w:ascii="Calibri" w:hAnsi="Calibri"/>
          <w:color w:val="525866"/>
          <w:sz w:val="22"/>
        </w:rPr>
        <w:t xml:space="preserve"> since Q1 earnings — down ~16% vs. OIH (−12%) and S&amp;P 500 (+3%) — driven almost entirely by </w:t>
      </w:r>
      <w:r>
        <w:rPr>
          <w:rFonts w:ascii="Calibri" w:hAnsi="Calibri"/>
          <w:b/>
          <w:color w:val="525866"/>
          <w:sz w:val="22"/>
        </w:rPr>
        <w:t>sentiment deterioration around the Middle East conflict</w:t>
      </w:r>
      <w:r>
        <w:rPr>
          <w:rFonts w:ascii="Calibri" w:hAnsi="Calibri"/>
          <w:color w:val="525866"/>
          <w:sz w:val="22"/>
        </w:rPr>
        <w:t xml:space="preserve"> rather than estimate revisions, which have been modest. The stock's de-rating creates an asymmetric setup: any credible recovery signal from the region could drive a sharp re-rating, while the Digital/Data Center story provides a structural floor.</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SLB vs. OIH (VanEck Oil Services ETF) vs. S&amp;P 500 (SPY) — Indexed to 100 at Q1 2026 Earnings (Apr 24, 2026). Source: Yahoo Finance.</w:t>
      </w:r>
    </w:p>
    <w:p>
      <w:pPr>
        <w:pStyle w:val="ListBullet"/>
        <w:ind w:left="360" w:hanging="360"/>
      </w:pPr>
      <w:r>
        <w:rPr>
          <w:rFonts w:ascii="Calibri" w:hAnsi="Calibri"/>
          <w:b/>
          <w:color w:val="525866"/>
          <w:sz w:val="22"/>
        </w:rPr>
        <w:t xml:space="preserve">Apr 24 – May 22 (Base to +$1 peak): </w:t>
      </w:r>
      <w:r>
        <w:rPr>
          <w:rFonts w:ascii="Calibri" w:hAnsi="Calibri"/>
          <w:color w:val="525866"/>
          <w:sz w:val="22"/>
        </w:rPr>
        <w:t>SLB initially held near 100–103 as the Q1 beat provided modest support, briefly outperforming OIH in mid-May as oil prices stabilized.</w:t>
      </w:r>
    </w:p>
    <w:p>
      <w:pPr>
        <w:pStyle w:val="ListBullet"/>
        <w:ind w:left="360" w:hanging="360"/>
      </w:pPr>
      <w:r>
        <w:rPr>
          <w:rFonts w:ascii="Calibri" w:hAnsi="Calibri"/>
          <w:b/>
          <w:color w:val="525866"/>
          <w:sz w:val="22"/>
        </w:rPr>
        <w:t xml:space="preserve">May 12 – $2B Senior Notes issuance: </w:t>
      </w:r>
      <w:r>
        <w:rPr>
          <w:rFonts w:ascii="Calibri" w:hAnsi="Calibri"/>
          <w:color w:val="525866"/>
          <w:sz w:val="22"/>
        </w:rPr>
        <w:t>SLB issued $2B in senior notes across three tranches, signaling confidence in balance sheet management but adding modest leverage concern.</w:t>
      </w:r>
    </w:p>
    <w:p>
      <w:pPr>
        <w:pStyle w:val="ListBullet"/>
        <w:ind w:left="360" w:hanging="360"/>
      </w:pPr>
      <w:r>
        <w:rPr>
          <w:rFonts w:ascii="Calibri" w:hAnsi="Calibri"/>
          <w:b/>
          <w:color w:val="525866"/>
          <w:sz w:val="22"/>
        </w:rPr>
        <w:t xml:space="preserve">Late May – Mid-June (sharp underperformance): </w:t>
      </w:r>
      <w:r>
        <w:rPr>
          <w:rFonts w:ascii="Calibri" w:hAnsi="Calibri"/>
          <w:color w:val="525866"/>
          <w:sz w:val="22"/>
        </w:rPr>
        <w:t>SLB fell from ~103 to ~90 (indexed) as oil prices weakened and Middle East recovery expectations were pushed out; OIH also declined but less severely.</w:t>
      </w:r>
    </w:p>
    <w:p>
      <w:pPr>
        <w:pStyle w:val="ListBullet"/>
        <w:ind w:left="360" w:hanging="360"/>
      </w:pPr>
      <w:r>
        <w:rPr>
          <w:rFonts w:ascii="Calibri" w:hAnsi="Calibri"/>
          <w:b/>
          <w:color w:val="525866"/>
          <w:sz w:val="22"/>
        </w:rPr>
        <w:t xml:space="preserve">Jun 17 – Digital Investor Day: </w:t>
      </w:r>
      <w:r>
        <w:rPr>
          <w:rFonts w:ascii="Calibri" w:hAnsi="Calibri"/>
          <w:color w:val="525866"/>
          <w:sz w:val="22"/>
        </w:rPr>
        <w:t>Provided a brief stabilization as management reinforced 10–15% digital revenue CAGR and doubled ARR target to $2B by 2030, but the macro/geopolitical overhang dominated.</w:t>
      </w:r>
    </w:p>
    <w:p>
      <w:pPr>
        <w:pStyle w:val="ListBullet"/>
        <w:ind w:left="360" w:hanging="360"/>
      </w:pPr>
      <w:r>
        <w:rPr>
          <w:rFonts w:ascii="Calibri" w:hAnsi="Calibri"/>
          <w:b/>
          <w:color w:val="525866"/>
          <w:sz w:val="22"/>
        </w:rPr>
        <w:t xml:space="preserve">Late June – Early July (continued weakness): </w:t>
      </w:r>
      <w:r>
        <w:rPr>
          <w:rFonts w:ascii="Calibri" w:hAnsi="Calibri"/>
          <w:color w:val="525866"/>
          <w:sz w:val="22"/>
        </w:rPr>
        <w:t>SLB hit a trough near ~80 (indexed, ~$45) as oil prices fell further and Iraq force majeure remained in place; the stock traded at its lowest level since 2022.</w:t>
      </w:r>
    </w:p>
    <w:p>
      <w:pPr>
        <w:pStyle w:val="ListBullet"/>
        <w:ind w:left="360" w:hanging="360"/>
      </w:pPr>
      <w:r>
        <w:rPr>
          <w:rFonts w:ascii="Calibri" w:hAnsi="Calibri"/>
          <w:b/>
          <w:color w:val="525866"/>
          <w:sz w:val="22"/>
        </w:rPr>
        <w:t xml:space="preserve">Jul 14 – Liberty Energy Alliance: </w:t>
      </w:r>
      <w:r>
        <w:rPr>
          <w:rFonts w:ascii="Calibri" w:hAnsi="Calibri"/>
          <w:color w:val="525866"/>
          <w:sz w:val="22"/>
        </w:rPr>
        <w:t>SLB announced a strategic alliance with Liberty Energy for data center power infrastructure; provided a modest lift but did not reverse the trend.</w:t>
      </w:r>
    </w:p>
    <w:p>
      <w:pPr>
        <w:pStyle w:val="ListBullet"/>
        <w:ind w:left="360" w:hanging="360"/>
      </w:pPr>
      <w:r>
        <w:rPr>
          <w:rFonts w:ascii="Calibri" w:hAnsi="Calibri"/>
          <w:b/>
          <w:color w:val="525866"/>
          <w:sz w:val="22"/>
        </w:rPr>
        <w:t xml:space="preserve">Jul 21 – HAL Q2 Earnings: </w:t>
      </w:r>
      <w:r>
        <w:rPr>
          <w:rFonts w:ascii="Calibri" w:hAnsi="Calibri"/>
          <w:color w:val="525866"/>
          <w:sz w:val="22"/>
        </w:rPr>
        <w:t>HAL reported Q2 results showing international revenue at its highest in a decade despite Middle East disruption; SLB ticked up slightly on the read-through, closing at ~$47.67 on Jul 22.</w:t>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 xml:space="preserve">HAL's Q2 2026 earnings (July 21) and BKR's Bernstein Conference commentary (May 27) both point to the same thesis: </w:t>
      </w:r>
      <w:r>
        <w:rPr>
          <w:rFonts w:ascii="Calibri" w:hAnsi="Calibri"/>
          <w:b/>
          <w:color w:val="525866"/>
          <w:sz w:val="22"/>
        </w:rPr>
        <w:t>Middle East disruption is real but not worsening</w:t>
      </w:r>
      <w:r>
        <w:rPr>
          <w:rFonts w:ascii="Calibri" w:hAnsi="Calibri"/>
          <w:color w:val="525866"/>
          <w:sz w:val="22"/>
        </w:rPr>
        <w:t>, international markets ex-ME are accelerating, and the structural case for upstream investment is strengthening — all constructive read-throughs for SLB's Q2 print and H2 recovery narrative.</w:t>
      </w:r>
    </w:p>
    <w:p>
      <w:pPr>
        <w:pStyle w:val="Heading3"/>
      </w:pPr>
      <w:r>
        <w:rPr>
          <w:rFonts w:ascii="Calibri" w:hAnsi="Calibri"/>
          <w:b/>
          <w:color w:val="3B4259"/>
          <w:sz w:val="24"/>
        </w:rPr>
        <w:t>Halliburton (HAL) — Q2 2026 Earnings Call (July 21, 2026)</w:t>
      </w:r>
    </w:p>
    <w:p>
      <w:r>
        <w:rPr>
          <w:rFonts w:ascii="Calibri" w:hAnsi="Calibri"/>
          <w:i/>
          <w:color w:val="525866"/>
          <w:sz w:val="22"/>
        </w:rPr>
        <w:t>Relevance: HAL is SLB's closest peer in Well Construction and international services. HAL reported Q2 2026 on July 21 — three days before SLB's print.</w:t>
      </w:r>
    </w:p>
    <w:p>
      <w:pPr>
        <w:pStyle w:val="ListBullet"/>
        <w:ind w:left="360" w:hanging="360"/>
      </w:pPr>
      <w:r>
        <w:rPr>
          <w:rFonts w:ascii="Calibri" w:hAnsi="Calibri"/>
          <w:b/>
          <w:color w:val="525866"/>
          <w:sz w:val="22"/>
        </w:rPr>
        <w:t xml:space="preserve">International revenue at decade high despite ME disruption: </w:t>
      </w:r>
      <w:r>
        <w:rPr>
          <w:rFonts w:ascii="Calibri" w:hAnsi="Calibri"/>
          <w:color w:val="525866"/>
          <w:sz w:val="22"/>
        </w:rPr>
        <w:t>HAL's international business delivered its "highest second quarter revenue in more than a decade" at $3.4B (+6% YoY), despite Middle East headwinds. This is a strong positive read-through for SLB's international ex-ME segments (Latin America, Europe/Africa, Asia deepwater).</w:t>
      </w:r>
    </w:p>
    <w:p>
      <w:pPr>
        <w:pStyle w:val="ListBullet"/>
        <w:ind w:left="360" w:hanging="360"/>
      </w:pPr>
      <w:r>
        <w:rPr>
          <w:rFonts w:ascii="Calibri" w:hAnsi="Calibri"/>
          <w:b/>
          <w:color w:val="525866"/>
          <w:sz w:val="22"/>
        </w:rPr>
        <w:t xml:space="preserve">Middle East: recovering but not back to pre-conflict levels: </w:t>
      </w:r>
      <w:r>
        <w:rPr>
          <w:rFonts w:ascii="Calibri" w:hAnsi="Calibri"/>
          <w:color w:val="525866"/>
          <w:sz w:val="22"/>
        </w:rPr>
        <w:t>HAL's COO stated "activity is recovering from the conflict lows, but the pace of recovery is still dependent on the day-to-day events in the region." Land well construction was "largely steady" with "pockets of disruption in Iraq and Bahrain." Offshore activity increased but is "not yet back to pre-conflict levels." HAL's Q3 guidance assumes "steady activity compared to where we are today" — no recovery to pre-war levels baked in. This is a cautious but not deteriorating read-through for SLB's Well Construction and Reservoir Performance segments.</w:t>
      </w:r>
    </w:p>
    <w:p>
      <w:pPr>
        <w:pStyle w:val="ListBullet"/>
        <w:ind w:left="360" w:hanging="360"/>
      </w:pPr>
      <w:r>
        <w:rPr>
          <w:rFonts w:ascii="Calibri" w:hAnsi="Calibri"/>
          <w:b/>
          <w:color w:val="525866"/>
          <w:sz w:val="22"/>
        </w:rPr>
        <w:t xml:space="preserve">Iraq: significant new award despite force majeure: </w:t>
      </w:r>
      <w:r>
        <w:rPr>
          <w:rFonts w:ascii="Calibri" w:hAnsi="Calibri"/>
          <w:color w:val="525866"/>
          <w:sz w:val="22"/>
        </w:rPr>
        <w:t>HAL announced a "significant Integrated Field Management Service award" in Iraq, signaling that customers are committing to long-cycle work even amid the conflict. SLB has similar integrated project exposure in Iraq.</w:t>
      </w:r>
    </w:p>
    <w:p>
      <w:pPr>
        <w:pStyle w:val="ListBullet"/>
        <w:ind w:left="360" w:hanging="360"/>
      </w:pPr>
      <w:r>
        <w:rPr>
          <w:rFonts w:ascii="Calibri" w:hAnsi="Calibri"/>
          <w:b/>
          <w:color w:val="525866"/>
          <w:sz w:val="22"/>
        </w:rPr>
        <w:t xml:space="preserve">North America pricing improving: </w:t>
      </w:r>
      <w:r>
        <w:rPr>
          <w:rFonts w:ascii="Calibri" w:hAnsi="Calibri"/>
          <w:color w:val="525866"/>
          <w:sz w:val="22"/>
        </w:rPr>
        <w:t>HAL reported "modest pricing gains" in North America with "30+ rig adds" and described a "positive margin trajectory" continuing into Q3 and Q4. This is a mild positive for SLB's North America segment, which is guided flat sequentially.</w:t>
      </w:r>
    </w:p>
    <w:p>
      <w:pPr>
        <w:pStyle w:val="ListBullet"/>
        <w:ind w:left="360" w:hanging="360"/>
      </w:pPr>
      <w:r>
        <w:rPr>
          <w:rFonts w:ascii="Calibri" w:hAnsi="Calibri"/>
          <w:b/>
          <w:color w:val="525866"/>
          <w:sz w:val="22"/>
        </w:rPr>
        <w:t xml:space="preserve">Offshore/deepwater: strong but inflection point is 2H 2027: </w:t>
      </w:r>
      <w:r>
        <w:rPr>
          <w:rFonts w:ascii="Calibri" w:hAnsi="Calibri"/>
          <w:color w:val="525866"/>
          <w:sz w:val="22"/>
        </w:rPr>
        <w:t>HAL's COO cited "big markets" in deepwater (Caribbean, Gulf of America, Brazil, West Africa, Norway, East Med) but does not see a major inflection until "a later half of 27 event." This is consistent with SLB's OneSubsea bookings trajectory and the $9B 2026–2027 award target.</w:t>
      </w:r>
    </w:p>
    <w:p>
      <w:pPr>
        <w:pStyle w:val="ListBullet"/>
        <w:ind w:left="360" w:hanging="360"/>
      </w:pPr>
      <w:r>
        <w:rPr>
          <w:rFonts w:ascii="Calibri" w:hAnsi="Calibri"/>
          <w:b/>
          <w:color w:val="525866"/>
          <w:sz w:val="22"/>
        </w:rPr>
        <w:t xml:space="preserve">International growth target raised: </w:t>
      </w:r>
      <w:r>
        <w:rPr>
          <w:rFonts w:ascii="Calibri" w:hAnsi="Calibri"/>
          <w:color w:val="525866"/>
          <w:sz w:val="22"/>
        </w:rPr>
        <w:t>HAL's COO stated they are "ahead of schedule" on the $2.5–$3B international revenue growth target by 2028 and "think there's upside on that number." HAL expects international business to "grow low double digits this year" outside the Middle East. This is a bullish read-through for SLB's international recovery narrative.</w:t>
      </w:r>
    </w:p>
    <w:p>
      <w:pPr>
        <w:pStyle w:val="ListBullet"/>
        <w:ind w:left="360" w:hanging="360"/>
      </w:pPr>
      <w:r>
        <w:rPr>
          <w:rFonts w:ascii="Calibri" w:hAnsi="Calibri"/>
          <w:b/>
          <w:color w:val="525866"/>
          <w:sz w:val="22"/>
        </w:rPr>
        <w:t xml:space="preserve">Energy security as a multi-year theme: </w:t>
      </w:r>
      <w:r>
        <w:rPr>
          <w:rFonts w:ascii="Calibri" w:hAnsi="Calibri"/>
          <w:color w:val="525866"/>
          <w:sz w:val="22"/>
        </w:rPr>
        <w:t>HAL's CEO stated the work to "rebuild inventories, refill and expand strategic reserves, and diversify supply" will "take years, not quarters" — directly supporting SLB's medium-to-long-term constructive outlook on upstream investment.</w:t>
      </w:r>
    </w:p>
    <w:p>
      <w:pPr>
        <w:pStyle w:val="Heading3"/>
      </w:pPr>
      <w:r>
        <w:rPr>
          <w:rFonts w:ascii="Calibri" w:hAnsi="Calibri"/>
          <w:b/>
          <w:color w:val="3B4259"/>
          <w:sz w:val="24"/>
        </w:rPr>
        <w:t>Baker Hughes (BKR) — Bernstein Strategic Decisions Conference (May 27, 2026)</w:t>
      </w:r>
    </w:p>
    <w:p>
      <w:r>
        <w:rPr>
          <w:rFonts w:ascii="Calibri" w:hAnsi="Calibri"/>
          <w:i/>
          <w:color w:val="525866"/>
          <w:sz w:val="22"/>
        </w:rPr>
        <w:t>Relevance: BKR's CEO Lorenzo Simonelli provided extensive commentary on the Middle East, international activity, and energy demand trends during Q2 2026 — directly relevant to SLB's current quarter.</w:t>
      </w:r>
    </w:p>
    <w:p>
      <w:pPr>
        <w:pStyle w:val="ListBullet"/>
        <w:ind w:left="360" w:hanging="360"/>
      </w:pPr>
      <w:r>
        <w:rPr>
          <w:rFonts w:ascii="Calibri" w:hAnsi="Calibri"/>
          <w:b/>
          <w:color w:val="525866"/>
          <w:sz w:val="22"/>
        </w:rPr>
        <w:t xml:space="preserve">Strait of Hormuz: activity ongoing, hoping for quick resolution: </w:t>
      </w:r>
      <w:r>
        <w:rPr>
          <w:rFonts w:ascii="Calibri" w:hAnsi="Calibri"/>
          <w:color w:val="525866"/>
          <w:sz w:val="22"/>
        </w:rPr>
        <w:t>BKR's CEO stated "activity is ongoing, and we're working very well with our customers to ensure the safety as well as business continuity" but expressed hope that "the Strait of Hormuz is opened quickly because the longer they are closed, the more it will have an impact downstream later on from a recovery perspective." This is consistent with SLB's scenario-based Q2 framing and suggests the disruption, while ongoing, has not materially worsened since Q1.</w:t>
      </w:r>
    </w:p>
    <w:p>
      <w:pPr>
        <w:pStyle w:val="ListBullet"/>
        <w:ind w:left="360" w:hanging="360"/>
      </w:pPr>
      <w:r>
        <w:rPr>
          <w:rFonts w:ascii="Calibri" w:hAnsi="Calibri"/>
          <w:b/>
          <w:color w:val="525866"/>
          <w:sz w:val="22"/>
        </w:rPr>
        <w:t xml:space="preserve">International upstream investment to increase: </w:t>
      </w:r>
      <w:r>
        <w:rPr>
          <w:rFonts w:ascii="Calibri" w:hAnsi="Calibri"/>
          <w:color w:val="525866"/>
          <w:sz w:val="22"/>
        </w:rPr>
        <w:t>BKR's CEO anticipated "an increase in investments across multiple areas" in the aftermath of the conflict, with upstream being one, alongside infrastructure to enhance supply resilience. Specific regions cited: Nigeria, other Africa locations, and Alaska. This is a positive read-through for SLB's international diversification strategy.</w:t>
      </w:r>
    </w:p>
    <w:p>
      <w:pPr>
        <w:pStyle w:val="ListBullet"/>
        <w:ind w:left="360" w:hanging="360"/>
      </w:pPr>
      <w:r>
        <w:rPr>
          <w:rFonts w:ascii="Calibri" w:hAnsi="Calibri"/>
          <w:b/>
          <w:color w:val="525866"/>
          <w:sz w:val="22"/>
        </w:rPr>
        <w:t xml:space="preserve">North America shorter-cycle barrels as first mover: </w:t>
      </w:r>
      <w:r>
        <w:rPr>
          <w:rFonts w:ascii="Calibri" w:hAnsi="Calibri"/>
          <w:color w:val="525866"/>
          <w:sz w:val="22"/>
        </w:rPr>
        <w:t>BKR noted that "the first mover are going to be some of the shorter-cycle barrels available within North America" with international upstream to follow. This is consistent with SLB's guidance for flat North America revenue sequentially and a gradual international recovery.</w:t>
      </w:r>
    </w:p>
    <w:p>
      <w:pPr>
        <w:pStyle w:val="ListBullet"/>
        <w:ind w:left="360" w:hanging="360"/>
      </w:pPr>
      <w:r>
        <w:rPr>
          <w:rFonts w:ascii="Calibri" w:hAnsi="Calibri"/>
          <w:b/>
          <w:color w:val="525866"/>
          <w:sz w:val="22"/>
        </w:rPr>
        <w:t xml:space="preserve">LNG and data center demand as structural tailwinds: </w:t>
      </w:r>
      <w:r>
        <w:rPr>
          <w:rFonts w:ascii="Calibri" w:hAnsi="Calibri"/>
          <w:color w:val="525866"/>
          <w:sz w:val="22"/>
        </w:rPr>
        <w:t>BKR's CEO declared "we are in an energy demand decade" and cited data center demand as a key driver. BKR's Power Systems generated $1.4B in Q1 2026 with $1B from data centers, and the company is revising its $3B data center target upward. This validates SLB's Data Center Solutions strategy and the Liberty Energy alliance announced July 14.</w:t>
      </w:r>
    </w:p>
    <w:p>
      <w:pPr>
        <w:pStyle w:val="ListBullet"/>
        <w:ind w:left="360" w:hanging="360"/>
      </w:pPr>
      <w:r>
        <w:rPr>
          <w:rFonts w:ascii="Calibri" w:hAnsi="Calibri"/>
          <w:b/>
          <w:color w:val="525866"/>
          <w:sz w:val="22"/>
        </w:rPr>
        <w:t xml:space="preserve">Pipelines and LNG infrastructure as conflict byproduct: </w:t>
      </w:r>
      <w:r>
        <w:rPr>
          <w:rFonts w:ascii="Calibri" w:hAnsi="Calibri"/>
          <w:color w:val="525866"/>
          <w:sz w:val="22"/>
        </w:rPr>
        <w:t>BKR's CEO noted the conflict will drive demand for "pipelines that are going to be necessary in the Middle East to bypass the Strait of Hormuz" and new LNG plants in diverse locations. This is a medium-term positive for SLB's OneSubsea and Production Systems segments.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Digital Investor Day (June 17)</w:t>
      </w:r>
      <w:r>
        <w:rPr>
          <w:rFonts w:ascii="Calibri" w:hAnsi="Calibri"/>
          <w:color w:val="525866"/>
          <w:sz w:val="22"/>
        </w:rPr>
        <w:t xml:space="preserve">, which reinforced SLB's structural digital growth story and provided a credible long-term margin expansion roadmap — a potential re-rating catalyst once the Middle East overhang clears. The </w:t>
      </w:r>
      <w:r>
        <w:rPr>
          <w:rFonts w:ascii="Calibri" w:hAnsi="Calibri"/>
          <w:b/>
          <w:color w:val="525866"/>
          <w:sz w:val="22"/>
        </w:rPr>
        <w:t>Liberty Energy alliance (July 14)</w:t>
      </w:r>
      <w:r>
        <w:rPr>
          <w:rFonts w:ascii="Calibri" w:hAnsi="Calibri"/>
          <w:color w:val="525866"/>
          <w:sz w:val="22"/>
        </w:rPr>
        <w:t xml:space="preserve"> is the most recent positive signal, validating the Data Center Solutions strategy ahead of the print.</w:t>
      </w:r>
    </w:p>
    <w:p>
      <w:pPr>
        <w:pStyle w:val="ListBullet"/>
        <w:ind w:left="360" w:hanging="360"/>
      </w:pPr>
      <w:r>
        <w:rPr>
          <w:rFonts w:ascii="Calibri" w:hAnsi="Calibri"/>
          <w:b/>
          <w:color w:val="525866"/>
          <w:sz w:val="22"/>
        </w:rPr>
        <w:t xml:space="preserve">July 14, 2026 — SLB / Liberty Energy Strategic Alliance (Data Centers): </w:t>
      </w:r>
      <w:r>
        <w:rPr>
          <w:rFonts w:ascii="Calibri" w:hAnsi="Calibri"/>
          <w:color w:val="525866"/>
          <w:sz w:val="22"/>
        </w:rPr>
        <w:t xml:space="preserve">SLB and Liberty Energy announced a strategic alliance to deliver modular infrastructure and integrated power generation solutions for data center projects globally. SLB provides modular infrastructure and project execution; Liberty provides modular power generation and behind-the-meter intelligent power controls. SLB has shipped &gt;1.3 GW of prefabricated modular infrastructure since April 2024 and expects cumulative deliveries to exceed 2 GW by year-end. </w:t>
      </w:r>
      <w:r>
        <w:rPr>
          <w:rFonts w:ascii="Calibri" w:hAnsi="Calibri"/>
          <w:b/>
          <w:color w:val="525866"/>
          <w:sz w:val="22"/>
        </w:rPr>
        <w:t xml:space="preserve">Implication: </w:t>
      </w:r>
      <w:r>
        <w:rPr>
          <w:rFonts w:ascii="Calibri" w:hAnsi="Calibri"/>
          <w:color w:val="525866"/>
          <w:sz w:val="22"/>
        </w:rPr>
        <w:t>Validates the Data Center Solutions strategy and the $1B exit-rate run rate target; adds a credible power generation partner for behind-the-meter solutions.</w:t>
      </w:r>
    </w:p>
    <w:p>
      <w:pPr>
        <w:pStyle w:val="ListBullet"/>
        <w:ind w:left="360" w:hanging="360"/>
      </w:pPr>
      <w:r>
        <w:rPr>
          <w:rFonts w:ascii="Calibri" w:hAnsi="Calibri"/>
          <w:b/>
          <w:color w:val="525866"/>
          <w:sz w:val="22"/>
        </w:rPr>
        <w:t xml:space="preserve">June 17, 2026 — SLB Digital Investor Day: </w:t>
      </w:r>
      <w:r>
        <w:rPr>
          <w:rFonts w:ascii="Calibri" w:hAnsi="Calibri"/>
          <w:color w:val="525866"/>
          <w:sz w:val="22"/>
        </w:rPr>
        <w:t xml:space="preserve">SLB hosted a dedicated Digital Investor Day, the first of its kind, signaling confidence in the digital business as a standalone growth driver. Key targets: double digital ARR to ~$2B by 2030 (from ~$1B today); 10–15% digital revenue CAGR through 2030; digital EBITDA margin expanding to 38–42% by 2030 (from 35% in 2025); SaaS mix to increase from &lt;50% to potentially 75% of cloud revenue. CEO stated: "We are not building our digital capability anymore. We have built it. We're here to scale it." </w:t>
      </w:r>
      <w:r>
        <w:rPr>
          <w:rFonts w:ascii="Calibri" w:hAnsi="Calibri"/>
          <w:b/>
          <w:color w:val="525866"/>
          <w:sz w:val="22"/>
        </w:rPr>
        <w:t xml:space="preserve">Implication: </w:t>
      </w:r>
      <w:r>
        <w:rPr>
          <w:rFonts w:ascii="Calibri" w:hAnsi="Calibri"/>
          <w:color w:val="525866"/>
          <w:sz w:val="22"/>
        </w:rPr>
        <w:t>Provides a credible long-term re-rating catalyst; digital is now a separately reported, high-margin, recurring revenue business that should command a premium multiple.</w:t>
      </w:r>
    </w:p>
    <w:p>
      <w:pPr>
        <w:pStyle w:val="ListBullet"/>
        <w:ind w:left="360" w:hanging="360"/>
      </w:pPr>
      <w:r>
        <w:rPr>
          <w:rFonts w:ascii="Calibri" w:hAnsi="Calibri"/>
          <w:b/>
          <w:color w:val="525866"/>
          <w:sz w:val="22"/>
        </w:rPr>
        <w:t xml:space="preserve">May 12, 2026 — SLB Issues $2B in Senior Notes: </w:t>
      </w:r>
      <w:r>
        <w:rPr>
          <w:rFonts w:ascii="Calibri" w:hAnsi="Calibri"/>
          <w:color w:val="525866"/>
          <w:sz w:val="22"/>
        </w:rPr>
        <w:t xml:space="preserve">SLB's subsidiary issued $2B in senior notes across three tranches. </w:t>
      </w:r>
      <w:r>
        <w:rPr>
          <w:rFonts w:ascii="Calibri" w:hAnsi="Calibri"/>
          <w:b/>
          <w:color w:val="525866"/>
          <w:sz w:val="22"/>
        </w:rPr>
        <w:t xml:space="preserve">Implication: </w:t>
      </w:r>
      <w:r>
        <w:rPr>
          <w:rFonts w:ascii="Calibri" w:hAnsi="Calibri"/>
          <w:color w:val="525866"/>
          <w:sz w:val="22"/>
        </w:rPr>
        <w:t>Signals balance sheet confidence and likely pre-funds the S&amp;P Global Energy software acquisition (expected to close H2 2026 or early 2027); adds modest leverage but within investment-grade parameters.</w:t>
      </w:r>
    </w:p>
    <w:p>
      <w:pPr>
        <w:pStyle w:val="ListBullet"/>
        <w:ind w:left="360" w:hanging="360"/>
      </w:pPr>
      <w:r>
        <w:rPr>
          <w:rFonts w:ascii="Calibri" w:hAnsi="Calibri"/>
          <w:b/>
          <w:color w:val="525866"/>
          <w:sz w:val="22"/>
        </w:rPr>
        <w:t xml:space="preserve">April 24, 2026 — S&amp;P Global Energy Software Acquisition Announced: </w:t>
      </w:r>
      <w:r>
        <w:rPr>
          <w:rFonts w:ascii="Calibri" w:hAnsi="Calibri"/>
          <w:color w:val="525866"/>
          <w:sz w:val="22"/>
        </w:rPr>
        <w:t xml:space="preserve">SLB entered a definitive agreement to acquire S&amp;P Global Energy's geoscience and petroleum engineering software portfolio (Kingdom Software, Petra, Harmony Enterprise, and others), widely used by U.S. onshore and unconventional operators. Simultaneously, SLB and S&amp;P Global entered an AI data partnership to develop advanced domain foundation models using SLB's Lumi™ platform and Tela™ agentic AI framework. Transaction expected to close H2 2026 or early 2027. </w:t>
      </w:r>
      <w:r>
        <w:rPr>
          <w:rFonts w:ascii="Calibri" w:hAnsi="Calibri"/>
          <w:b/>
          <w:color w:val="525866"/>
          <w:sz w:val="22"/>
        </w:rPr>
        <w:t xml:space="preserve">Implication: </w:t>
      </w:r>
      <w:r>
        <w:rPr>
          <w:rFonts w:ascii="Calibri" w:hAnsi="Calibri"/>
          <w:color w:val="525866"/>
          <w:sz w:val="22"/>
        </w:rPr>
        <w:t>Expands SLB's digital footprint into U.S. unconventional workflows; the AI data partnership is a strategic differentiator for the digital business.</w:t>
      </w:r>
    </w:p>
    <w:p>
      <w:pPr>
        <w:pStyle w:val="ListBullet"/>
        <w:ind w:left="360" w:hanging="360"/>
      </w:pPr>
      <w:r>
        <w:rPr>
          <w:rFonts w:ascii="Calibri" w:hAnsi="Calibri"/>
          <w:b/>
          <w:color w:val="525866"/>
          <w:sz w:val="22"/>
        </w:rPr>
        <w:t xml:space="preserve">July 21, 2026 — HAL Q2 2026 Earnings (Peer Read-Through): </w:t>
      </w:r>
      <w:r>
        <w:rPr>
          <w:rFonts w:ascii="Calibri" w:hAnsi="Calibri"/>
          <w:color w:val="525866"/>
          <w:sz w:val="22"/>
        </w:rPr>
        <w:t xml:space="preserve">HAL reported Q2 2026 revenue of $5.7B (+6% YoY), international revenue at a decade high, and guided Q3 with steady Middle East activity assumptions. </w:t>
      </w:r>
      <w:r>
        <w:rPr>
          <w:rFonts w:ascii="Calibri" w:hAnsi="Calibri"/>
          <w:b/>
          <w:color w:val="525866"/>
          <w:sz w:val="22"/>
        </w:rPr>
        <w:t xml:space="preserve">Implication: </w:t>
      </w:r>
      <w:r>
        <w:rPr>
          <w:rFonts w:ascii="Calibri" w:hAnsi="Calibri"/>
          <w:color w:val="525866"/>
          <w:sz w:val="22"/>
        </w:rPr>
        <w:t>Positive read-through for SLB's international ex-ME segments; confirms Middle East is not worsening but recovery pace remains uncertain.</w:t>
      </w:r>
    </w:p>
    <w:p>
      <w:pPr>
        <w:pStyle w:val="ListBullet"/>
        <w:ind w:left="360" w:hanging="360"/>
      </w:pPr>
      <w:r>
        <w:rPr>
          <w:rFonts w:ascii="Calibri" w:hAnsi="Calibri"/>
          <w:b/>
          <w:color w:val="525866"/>
          <w:sz w:val="22"/>
        </w:rPr>
        <w:t xml:space="preserve">July 16, 2026 — BKR Completes Chart Industries Acquisition: </w:t>
      </w:r>
      <w:r>
        <w:rPr>
          <w:rFonts w:ascii="Calibri" w:hAnsi="Calibri"/>
          <w:color w:val="525866"/>
          <w:sz w:val="22"/>
        </w:rPr>
        <w:t xml:space="preserve">Baker Hughes completed its acquisition of Chart Industries, securing $2B in new term loans. </w:t>
      </w:r>
      <w:r>
        <w:rPr>
          <w:rFonts w:ascii="Calibri" w:hAnsi="Calibri"/>
          <w:b/>
          <w:color w:val="525866"/>
          <w:sz w:val="22"/>
        </w:rPr>
        <w:t xml:space="preserve">Implication: </w:t>
      </w:r>
      <w:r>
        <w:rPr>
          <w:rFonts w:ascii="Calibri" w:hAnsi="Calibri"/>
          <w:color w:val="525866"/>
          <w:sz w:val="22"/>
        </w:rPr>
        <w:t>BKR's strategic pivot toward industrialized energy solutions (LNG, cryogenics, data centers) is a competitive dynamic to watch for SLB's IET-adjacent businesses.</w:t>
      </w:r>
    </w:p>
    <w:p>
      <w:pPr>
        <w:pStyle w:val="ListBullet"/>
        <w:ind w:left="360" w:hanging="360"/>
      </w:pPr>
      <w:r>
        <w:rPr>
          <w:rFonts w:ascii="Calibri" w:hAnsi="Calibri"/>
          <w:b/>
          <w:color w:val="525866"/>
          <w:sz w:val="22"/>
        </w:rPr>
        <w:t xml:space="preserve">Ongoing — Middle East Conflict / Iraq Force Majeure: </w:t>
      </w:r>
      <w:r>
        <w:rPr>
          <w:rFonts w:ascii="Calibri" w:hAnsi="Calibri"/>
          <w:color w:val="525866"/>
          <w:sz w:val="22"/>
        </w:rPr>
        <w:t xml:space="preserve">Iraq operations remain under force majeure as of the print date. The Strait of Hormuz disruption continues to constrain output and create logistics cost headwinds. </w:t>
      </w:r>
      <w:r>
        <w:rPr>
          <w:rFonts w:ascii="Calibri" w:hAnsi="Calibri"/>
          <w:b/>
          <w:color w:val="525866"/>
          <w:sz w:val="22"/>
        </w:rPr>
        <w:t xml:space="preserve">Implication: </w:t>
      </w:r>
      <w:r>
        <w:rPr>
          <w:rFonts w:ascii="Calibri" w:hAnsi="Calibri"/>
          <w:color w:val="525866"/>
          <w:sz w:val="22"/>
        </w:rPr>
        <w:t>The single largest near-term risk to SLB's Q2 results and H2 recovery trajectory; any escalation or prolonged closure would pressure Well Construction and Reservoir Performance further.</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activity since Q1 earnings has been </w:t>
      </w:r>
      <w:r>
        <w:rPr>
          <w:rFonts w:ascii="Calibri" w:hAnsi="Calibri"/>
          <w:b/>
          <w:color w:val="525866"/>
          <w:sz w:val="22"/>
        </w:rPr>
        <w:t>sales only — no open-market purchases</w:t>
      </w:r>
      <w:r>
        <w:rPr>
          <w:rFonts w:ascii="Calibri" w:hAnsi="Calibri"/>
          <w:color w:val="525866"/>
          <w:sz w:val="22"/>
        </w:rPr>
        <w:t>. The CEO's two sales are under a 10b5-1 plan (pre-scheduled, not discretionary), which limits the negative signal. However, the EVP Geographies' discretionary sale of 53,379 shares on May 1 — just one week after Q1 earnings — is worth noting, as it was not plan-driven.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Olivier Le Peuch</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25,000</w:t>
            </w:r>
          </w:p>
        </w:tc>
        <w:tc>
          <w:tcPr>
            <w:tcW w:type="dxa" w:w="1440"/>
          </w:tcPr>
          <w:p>
            <w:r>
              <w:rPr>
                <w:rFonts w:ascii="Calibri" w:hAnsi="Calibri"/>
                <w:sz w:val="22"/>
              </w:rPr>
              <w:t>May 27, 2026</w:t>
            </w:r>
          </w:p>
        </w:tc>
        <w:tc>
          <w:tcPr>
            <w:tcW w:type="dxa" w:w="1440"/>
          </w:tcPr>
          <w:p>
            <w:r>
              <w:rPr>
                <w:rFonts w:ascii="Calibri" w:hAnsi="Calibri"/>
                <w:sz w:val="22"/>
              </w:rPr>
              <w:t>Pre-scheduled 10b5-1 plan; not discretionary. Retains 1,366,328 shares post-sale.</w:t>
            </w:r>
          </w:p>
        </w:tc>
      </w:tr>
      <w:tr>
        <w:tc>
          <w:tcPr>
            <w:tcW w:type="dxa" w:w="1440"/>
          </w:tcPr>
          <w:p>
            <w:r>
              <w:rPr>
                <w:rFonts w:ascii="Calibri" w:hAnsi="Calibri"/>
                <w:sz w:val="22"/>
              </w:rPr>
              <w:t>Patrick de La Chevardiere</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2,000</w:t>
            </w:r>
          </w:p>
        </w:tc>
        <w:tc>
          <w:tcPr>
            <w:tcW w:type="dxa" w:w="1440"/>
          </w:tcPr>
          <w:p>
            <w:r>
              <w:rPr>
                <w:rFonts w:ascii="Calibri" w:hAnsi="Calibri"/>
                <w:sz w:val="22"/>
              </w:rPr>
              <w:t>May 7, 2026</w:t>
            </w:r>
          </w:p>
        </w:tc>
        <w:tc>
          <w:tcPr>
            <w:tcW w:type="dxa" w:w="1440"/>
          </w:tcPr>
          <w:p>
            <w:r>
              <w:rPr>
                <w:rFonts w:ascii="Calibri" w:hAnsi="Calibri"/>
                <w:sz w:val="22"/>
              </w:rPr>
              <w:t>Discretionary sale; small size relative to holdings (16,953 shares post-sale). Likely routine.</w:t>
            </w:r>
          </w:p>
        </w:tc>
      </w:tr>
      <w:tr>
        <w:tc>
          <w:tcPr>
            <w:tcW w:type="dxa" w:w="1440"/>
          </w:tcPr>
          <w:p>
            <w:r>
              <w:rPr>
                <w:rFonts w:ascii="Calibri" w:hAnsi="Calibri"/>
                <w:sz w:val="22"/>
              </w:rPr>
              <w:t>Steve Matthew Gassen</w:t>
            </w:r>
          </w:p>
        </w:tc>
        <w:tc>
          <w:tcPr>
            <w:tcW w:type="dxa" w:w="1440"/>
          </w:tcPr>
          <w:p>
            <w:r>
              <w:rPr>
                <w:rFonts w:ascii="Calibri" w:hAnsi="Calibri"/>
                <w:sz w:val="22"/>
              </w:rPr>
              <w:t>EVP, Geographies</w:t>
            </w:r>
          </w:p>
        </w:tc>
        <w:tc>
          <w:tcPr>
            <w:tcW w:type="dxa" w:w="1440"/>
          </w:tcPr>
          <w:p>
            <w:r>
              <w:rPr>
                <w:rFonts w:ascii="Calibri" w:hAnsi="Calibri"/>
                <w:sz w:val="22"/>
              </w:rPr>
              <w:t>Open Market Sale</w:t>
            </w:r>
          </w:p>
        </w:tc>
        <w:tc>
          <w:tcPr>
            <w:tcW w:type="dxa" w:w="1440"/>
          </w:tcPr>
          <w:p>
            <w:r>
              <w:rPr>
                <w:rFonts w:ascii="Calibri" w:hAnsi="Calibri"/>
                <w:sz w:val="22"/>
              </w:rPr>
              <w:t>53,379</w:t>
            </w:r>
          </w:p>
        </w:tc>
        <w:tc>
          <w:tcPr>
            <w:tcW w:type="dxa" w:w="1440"/>
          </w:tcPr>
          <w:p>
            <w:r>
              <w:rPr>
                <w:rFonts w:ascii="Calibri" w:hAnsi="Calibri"/>
                <w:sz w:val="22"/>
              </w:rPr>
              <w:t>May 1, 2026</w:t>
            </w:r>
          </w:p>
        </w:tc>
        <w:tc>
          <w:tcPr>
            <w:tcW w:type="dxa" w:w="1440"/>
          </w:tcPr>
          <w:p>
            <w:r>
              <w:rPr>
                <w:rFonts w:ascii="Calibri" w:hAnsi="Calibri"/>
                <w:sz w:val="22"/>
              </w:rPr>
              <w:t>Discretionary sale; largest transaction in the period. Sold 1 week post-Q1 earnings. Retains 47,421 shares. Not under a 10b5-1 plan — worth monitoring.</w:t>
            </w:r>
          </w:p>
        </w:tc>
      </w:tr>
      <w:tr>
        <w:tc>
          <w:tcPr>
            <w:tcW w:type="dxa" w:w="1440"/>
          </w:tcPr>
          <w:p>
            <w:r>
              <w:rPr>
                <w:rFonts w:ascii="Calibri" w:hAnsi="Calibri"/>
                <w:sz w:val="22"/>
              </w:rPr>
              <w:t>Olivier Le Peuch</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25,000</w:t>
            </w:r>
          </w:p>
        </w:tc>
        <w:tc>
          <w:tcPr>
            <w:tcW w:type="dxa" w:w="1440"/>
          </w:tcPr>
          <w:p>
            <w:r>
              <w:rPr>
                <w:rFonts w:ascii="Calibri" w:hAnsi="Calibri"/>
                <w:sz w:val="22"/>
              </w:rPr>
              <w:t>Apr 29, 2026</w:t>
            </w:r>
          </w:p>
        </w:tc>
        <w:tc>
          <w:tcPr>
            <w:tcW w:type="dxa" w:w="1440"/>
          </w:tcPr>
          <w:p>
            <w:r>
              <w:rPr>
                <w:rFonts w:ascii="Calibri" w:hAnsi="Calibri"/>
                <w:sz w:val="22"/>
              </w:rPr>
              <w:t>Pre-scheduled 10b5-1 plan; not discretionary. Retains 1,391,328 shares post-sale.</w:t>
            </w:r>
          </w:p>
        </w:tc>
      </w:tr>
    </w:tbl>
    <w:p>
      <w:r>
        <w:rPr>
          <w:rFonts w:ascii="Calibri" w:hAnsi="Calibri"/>
          <w:i/>
          <w:color w:val="525866"/>
          <w:sz w:val="22"/>
        </w:rPr>
        <w:t>No open-market purchases were filed in the period since Q1 earnings (April 24 – July 23, 2026). The absence of insider buying at multi-year lows (~$45–47) is notable but not alarming given the 10b5-1 plan structure for the CEO's sales. Source: SEC Form 4 Filings Database.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