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SLB (SLB)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SLB (Schlumberger Limited)</w:t>
            </w:r>
          </w:p>
        </w:tc>
      </w:tr>
      <w:tr>
        <w:tc>
          <w:tcPr>
            <w:tcW w:type="dxa" w:w="4320"/>
          </w:tcPr>
          <w:p>
            <w:r>
              <w:rPr>
                <w:rFonts w:ascii="Calibri" w:hAnsi="Calibri"/>
                <w:b/>
                <w:sz w:val="22"/>
              </w:rPr>
              <w:t>Ticker</w:t>
            </w:r>
          </w:p>
        </w:tc>
        <w:tc>
          <w:tcPr>
            <w:tcW w:type="dxa" w:w="4320"/>
          </w:tcPr>
          <w:p>
            <w:r>
              <w:rPr>
                <w:rFonts w:ascii="Calibri" w:hAnsi="Calibri"/>
                <w:sz w:val="22"/>
              </w:rPr>
              <w:t>SLB US</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24, 2026 — 9:30 AM ET</w:t>
            </w:r>
          </w:p>
        </w:tc>
      </w:tr>
      <w:tr>
        <w:tc>
          <w:tcPr>
            <w:tcW w:type="dxa" w:w="4320"/>
          </w:tcPr>
          <w:p>
            <w:r>
              <w:rPr>
                <w:rFonts w:ascii="Calibri" w:hAnsi="Calibri"/>
                <w:b/>
                <w:sz w:val="22"/>
              </w:rPr>
              <w:t>Prepared</w:t>
            </w:r>
          </w:p>
        </w:tc>
        <w:tc>
          <w:tcPr>
            <w:tcW w:type="dxa" w:w="4320"/>
          </w:tcPr>
          <w:p>
            <w:r>
              <w:rPr>
                <w:rFonts w:ascii="Calibri" w:hAnsi="Calibri"/>
                <w:sz w:val="22"/>
              </w:rPr>
              <w:t>July 23, 2026</w:t>
            </w:r>
          </w:p>
        </w:tc>
      </w:tr>
      <w:tr>
        <w:tc>
          <w:tcPr>
            <w:tcW w:type="dxa" w:w="4320"/>
          </w:tcPr>
          <w:p>
            <w:r>
              <w:rPr>
                <w:rFonts w:ascii="Calibri" w:hAnsi="Calibri"/>
                <w:b/>
                <w:sz w:val="22"/>
              </w:rPr>
              <w:t>Last Earnings</w:t>
            </w:r>
          </w:p>
        </w:tc>
        <w:tc>
          <w:tcPr>
            <w:tcW w:type="dxa" w:w="4320"/>
          </w:tcPr>
          <w:p>
            <w:r>
              <w:rPr>
                <w:rFonts w:ascii="Calibri" w:hAnsi="Calibri"/>
                <w:sz w:val="22"/>
              </w:rPr>
              <w:t>April 24, 2026 (Q1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mixed-to-cautiously-constructive — consensus has been cut sharply since the Q1 print and the bar is now low, but the single biggest swing factor is the pace of Middle East recovery, which remained fluid through June and could surprise in either direction.</w:t>
      </w:r>
    </w:p>
    <w:p>
      <w:r>
        <w:rPr>
          <w:rFonts w:ascii="Calibri" w:hAnsi="Calibri"/>
          <w:color w:val="525866"/>
          <w:sz w:val="22"/>
        </w:rPr>
        <w:t xml:space="preserve">Heading into SLB’s Q2 2026 print, the bar has been meaningfully reset lower: the Street has cut Q2 adjusted EPS from ~$0.58 immediately post-Q1 earnings to ~$0.51 today, and revenue consensus has drifted down to ~$8.68B from ~$8.77B, reflecting the scenario management laid out on April 24 — that Middle East disruptions would persist through mid-quarter before gradually easing. </w:t>
      </w:r>
      <w:r>
        <w:rPr>
          <w:rFonts w:ascii="Calibri" w:hAnsi="Calibri"/>
          <w:b/>
          <w:color w:val="525866"/>
          <w:sz w:val="22"/>
        </w:rPr>
        <w:t>Peer read-throughs from Halliburton (reported July 21) and Weatherford (reported July 22) confirm that Middle East activity suspensions and logistical disruptions carried through much of Q2, with freight costs peaking in May before moderating, and that a recovery is underway but incomplete — a pattern that is directionally consistent with SLB’s own scenario guidance.</w:t>
      </w:r>
      <w:r>
        <w:rPr>
          <w:rFonts w:ascii="Calibri" w:hAnsi="Calibri"/>
          <w:color w:val="525866"/>
          <w:sz w:val="22"/>
        </w:rPr>
        <w:t xml:space="preserve"> Management’s posture has been deliberately cautious since April, declining to provide full-year guidance and framing Q2 as scenario-dependent; the June 17 Digital Investor Day reinforced the long-term digital growth narrative (10–15% CAGR to 2030, ARR doubling to ~$2B) but offered no incremental near-term financial guidance. </w:t>
      </w:r>
      <w:r>
        <w:rPr>
          <w:rFonts w:ascii="Calibri" w:hAnsi="Calibri"/>
          <w:b/>
          <w:color w:val="525866"/>
          <w:sz w:val="22"/>
        </w:rPr>
        <w:t>Estimate revisions have tracked guidance lower in a disciplined fashion, suggesting the Street is not materially offside, though the risk of a negative surprise on Middle East collections and logistics costs remains real.</w:t>
      </w:r>
      <w:r>
        <w:rPr>
          <w:rFonts w:ascii="Calibri" w:hAnsi="Calibri"/>
          <w:color w:val="525866"/>
          <w:sz w:val="22"/>
        </w:rPr>
        <w:t xml:space="preserve"> The stock has underperformed XLE by roughly 20 percentage points since the Q1 print (SLB −16% vs. XLE −4%), suggesting the market has already priced in significant pain — the multiple has compressed to ~9.2x NTM EV/EBITDA, near the low end of its recent range — which means a “in-line” print with any constructive Middle East recovery commentary could be enough to catalyze a relief rally. The wildcard is the trajectory of the Middle East ceasefire/recovery: any acceleration in Saudi, UAE, or Iraq resumptions above the mid-quarter assumption would be a meaningful upside surprise on both revenue and EPS.</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Setup Element</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sz w:val="22"/>
              </w:rPr>
              <w:t>Bar (Consensus)</w:t>
            </w:r>
          </w:p>
        </w:tc>
        <w:tc>
          <w:tcPr>
            <w:tcW w:type="dxa" w:w="4320"/>
          </w:tcPr>
          <w:p>
            <w:r>
              <w:rPr>
                <w:rFonts w:ascii="Calibri" w:hAnsi="Calibri"/>
                <w:sz w:val="22"/>
              </w:rPr>
              <w:t>Low — EPS cut ~12% since Q1 print; revenue cut ~$90M. Consensus now at $0.506 adj. EPS and $8.68B revenue.</w:t>
            </w:r>
          </w:p>
        </w:tc>
      </w:tr>
      <w:tr>
        <w:tc>
          <w:tcPr>
            <w:tcW w:type="dxa" w:w="4320"/>
          </w:tcPr>
          <w:p>
            <w:r>
              <w:rPr>
                <w:rFonts w:ascii="Calibri" w:hAnsi="Calibri"/>
                <w:sz w:val="22"/>
              </w:rPr>
              <w:t>Guidance / Tone</w:t>
            </w:r>
          </w:p>
        </w:tc>
        <w:tc>
          <w:tcPr>
            <w:tcW w:type="dxa" w:w="4320"/>
          </w:tcPr>
          <w:p>
            <w:r>
              <w:rPr>
                <w:rFonts w:ascii="Calibri" w:hAnsi="Calibri"/>
                <w:sz w:val="22"/>
              </w:rPr>
              <w:t>Cautious — no full-year guidance; Q2 framed as scenario-dependent. Digital Investor Day (June 17) constructive on long-term but silent on near-term.</w:t>
            </w:r>
          </w:p>
        </w:tc>
      </w:tr>
      <w:tr>
        <w:tc>
          <w:tcPr>
            <w:tcW w:type="dxa" w:w="4320"/>
          </w:tcPr>
          <w:p>
            <w:r>
              <w:rPr>
                <w:rFonts w:ascii="Calibri" w:hAnsi="Calibri"/>
                <w:sz w:val="22"/>
              </w:rPr>
              <w:t>Estimate Trajectory</w:t>
            </w:r>
          </w:p>
        </w:tc>
        <w:tc>
          <w:tcPr>
            <w:tcW w:type="dxa" w:w="4320"/>
          </w:tcPr>
          <w:p>
            <w:r>
              <w:rPr>
                <w:rFonts w:ascii="Calibri" w:hAnsi="Calibri"/>
                <w:sz w:val="22"/>
              </w:rPr>
              <w:t>Revisions tracking guidance lower in orderly fashion; no divergence. Gap represents cushion, not risk, if Middle East recovers faster than assumed.</w:t>
            </w:r>
          </w:p>
        </w:tc>
      </w:tr>
      <w:tr>
        <w:tc>
          <w:tcPr>
            <w:tcW w:type="dxa" w:w="4320"/>
          </w:tcPr>
          <w:p>
            <w:r>
              <w:rPr>
                <w:rFonts w:ascii="Calibri" w:hAnsi="Calibri"/>
                <w:sz w:val="22"/>
              </w:rPr>
              <w:t>Stock Setup</w:t>
            </w:r>
          </w:p>
        </w:tc>
        <w:tc>
          <w:tcPr>
            <w:tcW w:type="dxa" w:w="4320"/>
          </w:tcPr>
          <w:p>
            <w:r>
              <w:rPr>
                <w:rFonts w:ascii="Calibri" w:hAnsi="Calibri"/>
                <w:sz w:val="22"/>
              </w:rPr>
              <w:t>SLB -16% vs. XLE -4% since Q1 print. NTM EV/EBITDA ~9.2x — near low end of range. Stock has priced in significant pain; relief rally possible on in-line print.</w:t>
            </w:r>
          </w:p>
        </w:tc>
      </w:tr>
      <w:tr>
        <w:tc>
          <w:tcPr>
            <w:tcW w:type="dxa" w:w="4320"/>
          </w:tcPr>
          <w:p>
            <w:r>
              <w:rPr>
                <w:rFonts w:ascii="Calibri" w:hAnsi="Calibri"/>
                <w:sz w:val="22"/>
              </w:rPr>
              <w:t>Wildcard</w:t>
            </w:r>
          </w:p>
        </w:tc>
        <w:tc>
          <w:tcPr>
            <w:tcW w:type="dxa" w:w="4320"/>
          </w:tcPr>
          <w:p>
            <w:r>
              <w:rPr>
                <w:rFonts w:ascii="Calibri" w:hAnsi="Calibri"/>
                <w:sz w:val="22"/>
              </w:rPr>
              <w:t>Pace of Middle East recovery (Saudi, UAE, Iraq). Any acceleration above mid-quarter assumption = upside surprise on revenue and EPS.</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heading into the print — estimates have been cut ~12% on EPS and ~1% on revenue since the Q1 print. </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Earnings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$8.721B</w:t>
            </w:r>
          </w:p>
        </w:tc>
        <w:tc>
          <w:tcPr>
            <w:tcW w:type="dxa" w:w="1234"/>
          </w:tcPr>
          <w:p>
            <w:r>
              <w:rPr>
                <w:rFonts w:ascii="Calibri" w:hAnsi="Calibri"/>
                <w:sz w:val="22"/>
              </w:rPr>
              <w:t>$9.398B</w:t>
            </w:r>
          </w:p>
        </w:tc>
        <w:tc>
          <w:tcPr>
            <w:tcW w:type="dxa" w:w="1234"/>
          </w:tcPr>
          <w:p>
            <w:r>
              <w:rPr>
                <w:rFonts w:ascii="Calibri" w:hAnsi="Calibri"/>
                <w:sz w:val="22"/>
              </w:rPr>
              <w:t>$8.681B</w:t>
            </w:r>
          </w:p>
        </w:tc>
        <w:tc>
          <w:tcPr>
            <w:tcW w:type="dxa" w:w="1234"/>
          </w:tcPr>
          <w:p>
            <w:r>
              <w:rPr>
                <w:rFonts w:ascii="Calibri" w:hAnsi="Calibri"/>
                <w:b/>
                <w:color w:val="E5484D"/>
                <w:sz w:val="22"/>
              </w:rPr>
              <w:t>-7.6%</w:t>
            </w:r>
          </w:p>
        </w:tc>
        <w:tc>
          <w:tcPr>
            <w:tcW w:type="dxa" w:w="1234"/>
          </w:tcPr>
          <w:p>
            <w:r>
              <w:rPr>
                <w:rFonts w:ascii="Calibri" w:hAnsi="Calibri"/>
                <w:sz w:val="22"/>
              </w:rPr>
              <w:t>Flat to Q1 (scenario-dependent; ME offset by intl growth)</w:t>
            </w:r>
          </w:p>
        </w:tc>
        <w:tc>
          <w:tcPr>
            <w:tcW w:type="dxa" w:w="1234"/>
          </w:tcPr>
          <w:p>
            <w:r>
              <w:rPr>
                <w:rFonts w:ascii="Calibri" w:hAnsi="Calibri"/>
                <w:sz w:val="22"/>
              </w:rPr>
              <w:t>~-0.5% vs. Q1 midpoint</w:t>
            </w:r>
          </w:p>
        </w:tc>
      </w:tr>
      <w:tr>
        <w:tc>
          <w:tcPr>
            <w:tcW w:type="dxa" w:w="1234"/>
          </w:tcPr>
          <w:p>
            <w:r>
              <w:rPr>
                <w:rFonts w:ascii="Calibri" w:hAnsi="Calibri"/>
                <w:sz w:val="22"/>
              </w:rPr>
              <w:t>Adj. EPS — Diluted ($)</w:t>
            </w:r>
          </w:p>
        </w:tc>
        <w:tc>
          <w:tcPr>
            <w:tcW w:type="dxa" w:w="1234"/>
          </w:tcPr>
          <w:p>
            <w:r>
              <w:rPr>
                <w:rFonts w:ascii="Calibri" w:hAnsi="Calibri"/>
                <w:sz w:val="22"/>
              </w:rPr>
              <w:t>$0.52</w:t>
            </w:r>
          </w:p>
        </w:tc>
        <w:tc>
          <w:tcPr>
            <w:tcW w:type="dxa" w:w="1234"/>
          </w:tcPr>
          <w:p>
            <w:r>
              <w:rPr>
                <w:rFonts w:ascii="Calibri" w:hAnsi="Calibri"/>
                <w:sz w:val="22"/>
              </w:rPr>
              <w:t>$0.718</w:t>
            </w:r>
          </w:p>
        </w:tc>
        <w:tc>
          <w:tcPr>
            <w:tcW w:type="dxa" w:w="1234"/>
          </w:tcPr>
          <w:p>
            <w:r>
              <w:rPr>
                <w:rFonts w:ascii="Calibri" w:hAnsi="Calibri"/>
                <w:sz w:val="22"/>
              </w:rPr>
              <w:t>$0.506</w:t>
            </w:r>
          </w:p>
        </w:tc>
        <w:tc>
          <w:tcPr>
            <w:tcW w:type="dxa" w:w="1234"/>
          </w:tcPr>
          <w:p>
            <w:r>
              <w:rPr>
                <w:rFonts w:ascii="Calibri" w:hAnsi="Calibri"/>
                <w:b/>
                <w:color w:val="E5484D"/>
                <w:sz w:val="22"/>
              </w:rPr>
              <w:t>-29.5%</w:t>
            </w:r>
          </w:p>
        </w:tc>
        <w:tc>
          <w:tcPr>
            <w:tcW w:type="dxa" w:w="1234"/>
          </w:tcPr>
          <w:p>
            <w:r>
              <w:rPr>
                <w:rFonts w:ascii="Calibri" w:hAnsi="Calibri"/>
                <w:sz w:val="22"/>
              </w:rPr>
              <w:t>ME to drag Q2 EPS by incremental $0.06–0.08 vs. Q1; offset by intl growth</w:t>
            </w:r>
          </w:p>
        </w:tc>
        <w:tc>
          <w:tcPr>
            <w:tcW w:type="dxa" w:w="1234"/>
          </w:tcPr>
          <w:p>
            <w:r>
              <w:rPr>
                <w:rFonts w:ascii="Calibri" w:hAnsi="Calibri"/>
                <w:sz w:val="22"/>
              </w:rPr>
              <w:t>~-2.7% vs. Q1 midpoint scenario</w:t>
            </w:r>
          </w:p>
        </w:tc>
      </w:tr>
      <w:tr>
        <w:tc>
          <w:tcPr>
            <w:tcW w:type="dxa" w:w="1234"/>
          </w:tcPr>
          <w:p>
            <w:r>
              <w:rPr>
                <w:rFonts w:ascii="Calibri" w:hAnsi="Calibri"/>
                <w:sz w:val="22"/>
              </w:rPr>
              <w:t>EBITDA ($B)</w:t>
            </w:r>
          </w:p>
        </w:tc>
        <w:tc>
          <w:tcPr>
            <w:tcW w:type="dxa" w:w="1234"/>
          </w:tcPr>
          <w:p>
            <w:r>
              <w:rPr>
                <w:rFonts w:ascii="Calibri" w:hAnsi="Calibri"/>
                <w:sz w:val="22"/>
              </w:rPr>
              <w:t>$1.773B</w:t>
            </w:r>
          </w:p>
        </w:tc>
        <w:tc>
          <w:tcPr>
            <w:tcW w:type="dxa" w:w="1234"/>
          </w:tcPr>
          <w:p>
            <w:r>
              <w:rPr>
                <w:rFonts w:ascii="Calibri" w:hAnsi="Calibri"/>
                <w:sz w:val="22"/>
              </w:rPr>
              <w:t>$1.978B</w:t>
            </w:r>
          </w:p>
        </w:tc>
        <w:tc>
          <w:tcPr>
            <w:tcW w:type="dxa" w:w="1234"/>
          </w:tcPr>
          <w:p>
            <w:r>
              <w:rPr>
                <w:rFonts w:ascii="Calibri" w:hAnsi="Calibri"/>
                <w:sz w:val="22"/>
              </w:rPr>
              <w:t>$1.784B</w:t>
            </w:r>
          </w:p>
        </w:tc>
        <w:tc>
          <w:tcPr>
            <w:tcW w:type="dxa" w:w="1234"/>
          </w:tcPr>
          <w:p>
            <w:r>
              <w:rPr>
                <w:rFonts w:ascii="Calibri" w:hAnsi="Calibri"/>
                <w:b/>
                <w:color w:val="E5484D"/>
                <w:sz w:val="22"/>
              </w:rPr>
              <w:t>-9.8%</w:t>
            </w:r>
          </w:p>
        </w:tc>
        <w:tc>
          <w:tcPr>
            <w:tcW w:type="dxa" w:w="1234"/>
          </w:tcPr>
          <w:p>
            <w:r>
              <w:rPr>
                <w:rFonts w:ascii="Calibri" w:hAnsi="Calibri"/>
                <w:sz w:val="22"/>
              </w:rPr>
              <w:t>No explicit EBITDA guidance; implied flat-to-slightly-up vs. Q1 under recovery scenario</w:t>
            </w:r>
          </w:p>
        </w:tc>
        <w:tc>
          <w:tcPr>
            <w:tcW w:type="dxa" w:w="1234"/>
          </w:tcPr>
          <w:p>
            <w:r>
              <w:rPr>
                <w:rFonts w:ascii="Calibri" w:hAnsi="Calibri"/>
                <w:sz w:val="22"/>
              </w:rPr>
              <w:t>+0.6% vs. Q1 actual</w:t>
            </w:r>
          </w:p>
        </w:tc>
      </w:tr>
      <w:tr>
        <w:tc>
          <w:tcPr>
            <w:tcW w:type="dxa" w:w="1234"/>
          </w:tcPr>
          <w:p>
            <w:r>
              <w:rPr>
                <w:rFonts w:ascii="Calibri" w:hAnsi="Calibri"/>
                <w:sz w:val="22"/>
              </w:rPr>
              <w:t>Free Cash Flow ($B)</w:t>
            </w:r>
          </w:p>
        </w:tc>
        <w:tc>
          <w:tcPr>
            <w:tcW w:type="dxa" w:w="1234"/>
          </w:tcPr>
          <w:p>
            <w:r>
              <w:rPr>
                <w:rFonts w:ascii="Calibri" w:hAnsi="Calibri"/>
                <w:sz w:val="22"/>
              </w:rPr>
              <w:t>-$0.023B</w:t>
            </w:r>
          </w:p>
        </w:tc>
        <w:tc>
          <w:tcPr>
            <w:tcW w:type="dxa" w:w="1234"/>
          </w:tcPr>
          <w:p>
            <w:r>
              <w:rPr>
                <w:rFonts w:ascii="Calibri" w:hAnsi="Calibri"/>
                <w:sz w:val="22"/>
              </w:rPr>
              <w:t>$0.622B</w:t>
            </w:r>
          </w:p>
        </w:tc>
        <w:tc>
          <w:tcPr>
            <w:tcW w:type="dxa" w:w="1234"/>
          </w:tcPr>
          <w:p>
            <w:r>
              <w:rPr>
                <w:rFonts w:ascii="Calibri" w:hAnsi="Calibri"/>
                <w:sz w:val="22"/>
              </w:rPr>
              <w:t>$0.373B</w:t>
            </w:r>
          </w:p>
        </w:tc>
        <w:tc>
          <w:tcPr>
            <w:tcW w:type="dxa" w:w="1234"/>
          </w:tcPr>
          <w:p>
            <w:r>
              <w:rPr>
                <w:rFonts w:ascii="Calibri" w:hAnsi="Calibri"/>
                <w:b/>
                <w:color w:val="E5484D"/>
                <w:sz w:val="22"/>
              </w:rPr>
              <w:t>-40.0%</w:t>
            </w:r>
          </w:p>
        </w:tc>
        <w:tc>
          <w:tcPr>
            <w:tcW w:type="dxa" w:w="1234"/>
          </w:tcPr>
          <w:p>
            <w:r>
              <w:rPr>
                <w:rFonts w:ascii="Calibri" w:hAnsi="Calibri"/>
                <w:sz w:val="22"/>
              </w:rPr>
              <w:t>FCF to follow historical pattern; majority in H2; gradual improvement through year</w:t>
            </w:r>
          </w:p>
        </w:tc>
        <w:tc>
          <w:tcPr>
            <w:tcW w:type="dxa" w:w="1234"/>
          </w:tcPr>
          <w:p>
            <w:r>
              <w:rPr>
                <w:rFonts w:ascii="Calibri" w:hAnsi="Calibri"/>
                <w:sz w:val="22"/>
              </w:rPr>
              <w:t>N/A — no specific Q2 FCF guidance</w:t>
            </w:r>
          </w:p>
        </w:tc>
      </w:tr>
      <w:tr>
        <w:tc>
          <w:tcPr>
            <w:tcW w:type="dxa" w:w="1234"/>
          </w:tcPr>
          <w:p>
            <w:r>
              <w:rPr>
                <w:rFonts w:ascii="Calibri" w:hAnsi="Calibri"/>
                <w:sz w:val="22"/>
              </w:rPr>
              <w:t>Revenue — International ($B)</w:t>
            </w:r>
          </w:p>
        </w:tc>
        <w:tc>
          <w:tcPr>
            <w:tcW w:type="dxa" w:w="1234"/>
          </w:tcPr>
          <w:p>
            <w:r>
              <w:rPr>
                <w:rFonts w:ascii="Calibri" w:hAnsi="Calibri"/>
                <w:sz w:val="22"/>
              </w:rPr>
              <w:t>$6.471B</w:t>
            </w:r>
          </w:p>
        </w:tc>
        <w:tc>
          <w:tcPr>
            <w:tcW w:type="dxa" w:w="1234"/>
          </w:tcPr>
          <w:p>
            <w:r>
              <w:rPr>
                <w:rFonts w:ascii="Calibri" w:hAnsi="Calibri"/>
                <w:sz w:val="22"/>
              </w:rPr>
              <w:t>$6.847B</w:t>
            </w:r>
          </w:p>
        </w:tc>
        <w:tc>
          <w:tcPr>
            <w:tcW w:type="dxa" w:w="1234"/>
          </w:tcPr>
          <w:p>
            <w:r>
              <w:rPr>
                <w:rFonts w:ascii="Calibri" w:hAnsi="Calibri"/>
                <w:sz w:val="22"/>
              </w:rPr>
              <w:t>$6.518B</w:t>
            </w:r>
          </w:p>
        </w:tc>
        <w:tc>
          <w:tcPr>
            <w:tcW w:type="dxa" w:w="1234"/>
          </w:tcPr>
          <w:p>
            <w:r>
              <w:rPr>
                <w:rFonts w:ascii="Calibri" w:hAnsi="Calibri"/>
                <w:b/>
                <w:color w:val="E5484D"/>
                <w:sz w:val="22"/>
              </w:rPr>
              <w:t>-4.8%</w:t>
            </w:r>
          </w:p>
        </w:tc>
        <w:tc>
          <w:tcPr>
            <w:tcW w:type="dxa" w:w="1234"/>
          </w:tcPr>
          <w:p>
            <w:r>
              <w:rPr>
                <w:rFonts w:ascii="Calibri" w:hAnsi="Calibri"/>
                <w:sz w:val="22"/>
              </w:rPr>
              <w:t>Mid-to-high single-digit growth in non-ME intl markets; ME drag persists through mid-Q2</w:t>
            </w:r>
          </w:p>
        </w:tc>
        <w:tc>
          <w:tcPr>
            <w:tcW w:type="dxa" w:w="1234"/>
          </w:tcPr>
          <w:p>
            <w:r>
              <w:rPr>
                <w:rFonts w:ascii="Calibri" w:hAnsi="Calibri"/>
                <w:sz w:val="22"/>
              </w:rPr>
              <w:t>+0.7% vs. Q1 actual</w:t>
            </w:r>
          </w:p>
        </w:tc>
      </w:tr>
      <w:tr>
        <w:tc>
          <w:tcPr>
            <w:tcW w:type="dxa" w:w="1234"/>
          </w:tcPr>
          <w:p>
            <w:r>
              <w:rPr>
                <w:rFonts w:ascii="Calibri" w:hAnsi="Calibri"/>
                <w:sz w:val="22"/>
              </w:rPr>
              <w:t>Revenue — North America ($B)</w:t>
            </w:r>
          </w:p>
        </w:tc>
        <w:tc>
          <w:tcPr>
            <w:tcW w:type="dxa" w:w="1234"/>
          </w:tcPr>
          <w:p>
            <w:r>
              <w:rPr>
                <w:rFonts w:ascii="Calibri" w:hAnsi="Calibri"/>
                <w:sz w:val="22"/>
              </w:rPr>
              <w:t>$2.167B</w:t>
            </w:r>
          </w:p>
        </w:tc>
        <w:tc>
          <w:tcPr>
            <w:tcW w:type="dxa" w:w="1234"/>
          </w:tcPr>
          <w:p>
            <w:r>
              <w:rPr>
                <w:rFonts w:ascii="Calibri" w:hAnsi="Calibri"/>
                <w:sz w:val="22"/>
              </w:rPr>
              <w:t>$1.655B</w:t>
            </w:r>
          </w:p>
        </w:tc>
        <w:tc>
          <w:tcPr>
            <w:tcW w:type="dxa" w:w="1234"/>
          </w:tcPr>
          <w:p>
            <w:r>
              <w:rPr>
                <w:rFonts w:ascii="Calibri" w:hAnsi="Calibri"/>
                <w:sz w:val="22"/>
              </w:rPr>
              <w:t>$2.157B</w:t>
            </w:r>
          </w:p>
        </w:tc>
        <w:tc>
          <w:tcPr>
            <w:tcW w:type="dxa" w:w="1234"/>
          </w:tcPr>
          <w:p>
            <w:r>
              <w:rPr>
                <w:rFonts w:ascii="Calibri" w:hAnsi="Calibri"/>
                <w:b/>
                <w:color w:val="30A46C"/>
                <w:sz w:val="22"/>
              </w:rPr>
              <w:t>+30.3%</w:t>
            </w:r>
          </w:p>
        </w:tc>
        <w:tc>
          <w:tcPr>
            <w:tcW w:type="dxa" w:w="1234"/>
          </w:tcPr>
          <w:p>
            <w:r>
              <w:rPr>
                <w:rFonts w:ascii="Calibri" w:hAnsi="Calibri"/>
                <w:sz w:val="22"/>
              </w:rPr>
              <w:t>Flat sequentially (guided explicitly on Q1 call)</w:t>
            </w:r>
          </w:p>
        </w:tc>
        <w:tc>
          <w:tcPr>
            <w:tcW w:type="dxa" w:w="1234"/>
          </w:tcPr>
          <w:p>
            <w:r>
              <w:rPr>
                <w:rFonts w:ascii="Calibri" w:hAnsi="Calibri"/>
                <w:sz w:val="22"/>
              </w:rPr>
              <w:t>-0.5% vs. Q1 actual; in-line with flat guidance</w:t>
            </w:r>
          </w:p>
        </w:tc>
      </w:tr>
    </w:tbl>
    <w:p>
      <w:r>
        <w:rPr>
          <w:rFonts w:ascii="Calibri" w:hAnsi="Calibri"/>
          <w:i/>
          <w:color w:val="525866"/>
          <w:sz w:val="22"/>
        </w:rPr>
        <w:t>Sources: Visible Alpha Consensus and Actuals Data. All consensus figures as of July 23, 2026.</w:t>
      </w:r>
    </w:p>
    <w:p>
      <w:pPr>
        <w:pStyle w:val="Heading3"/>
      </w:pPr>
      <w:r>
        <w:rPr>
          <w:rFonts w:ascii="Calibri" w:hAnsi="Calibri"/>
          <w:b/>
          <w:color w:val="3B4259"/>
          <w:sz w:val="24"/>
        </w:rPr>
        <w:t>Table 2 — Beat / Miss History (Last 8 Quarters —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$10.01B</w:t>
            </w:r>
          </w:p>
        </w:tc>
        <w:tc>
          <w:tcPr>
            <w:tcW w:type="dxa" w:w="1440"/>
          </w:tcPr>
          <w:p>
            <w:r>
              <w:rPr>
                <w:rFonts w:ascii="Calibri" w:hAnsi="Calibri"/>
                <w:sz w:val="22"/>
              </w:rPr>
              <w:t>$9.26B</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$0.844</w:t>
            </w:r>
          </w:p>
        </w:tc>
        <w:tc>
          <w:tcPr>
            <w:tcW w:type="dxa" w:w="1440"/>
          </w:tcPr>
          <w:p>
            <w:r>
              <w:rPr>
                <w:rFonts w:ascii="Calibri" w:hAnsi="Calibri"/>
                <w:sz w:val="22"/>
              </w:rPr>
              <w:t>$0.888</w:t>
            </w:r>
          </w:p>
        </w:tc>
        <w:tc>
          <w:tcPr>
            <w:tcW w:type="dxa" w:w="1440"/>
          </w:tcPr>
          <w:p>
            <w:r>
              <w:rPr>
                <w:rFonts w:ascii="Calibri" w:hAnsi="Calibri"/>
                <w:b/>
                <w:color w:val="E5484D"/>
                <w:sz w:val="22"/>
              </w:rPr>
              <w:t>-5.0%</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$10.14B</w:t>
            </w:r>
          </w:p>
        </w:tc>
        <w:tc>
          <w:tcPr>
            <w:tcW w:type="dxa" w:w="1440"/>
          </w:tcPr>
          <w:p>
            <w:r>
              <w:rPr>
                <w:rFonts w:ascii="Calibri" w:hAnsi="Calibri"/>
                <w:sz w:val="22"/>
              </w:rPr>
              <w:t>$9.22B</w:t>
            </w:r>
          </w:p>
        </w:tc>
        <w:tc>
          <w:tcPr>
            <w:tcW w:type="dxa" w:w="1440"/>
          </w:tcPr>
          <w:p>
            <w:r>
              <w:rPr>
                <w:rFonts w:ascii="Calibri" w:hAnsi="Calibri"/>
                <w:b/>
                <w:color w:val="30A46C"/>
                <w:sz w:val="22"/>
              </w:rPr>
              <w:t>+10.1%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$0.897</w:t>
            </w:r>
          </w:p>
        </w:tc>
        <w:tc>
          <w:tcPr>
            <w:tcW w:type="dxa" w:w="1440"/>
          </w:tcPr>
          <w:p>
            <w:r>
              <w:rPr>
                <w:rFonts w:ascii="Calibri" w:hAnsi="Calibri"/>
                <w:sz w:val="22"/>
              </w:rPr>
              <w:t>$0.899</w:t>
            </w:r>
          </w:p>
        </w:tc>
        <w:tc>
          <w:tcPr>
            <w:tcW w:type="dxa" w:w="1440"/>
          </w:tcPr>
          <w:p>
            <w:r>
              <w:rPr>
                <w:rFonts w:ascii="Calibri" w:hAnsi="Calibri"/>
                <w:b/>
                <w:color w:val="E5484D"/>
                <w:sz w:val="22"/>
              </w:rPr>
              <w:t>-0.3%</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$9.303B</w:t>
            </w:r>
          </w:p>
        </w:tc>
        <w:tc>
          <w:tcPr>
            <w:tcW w:type="dxa" w:w="1440"/>
          </w:tcPr>
          <w:p>
            <w:r>
              <w:rPr>
                <w:rFonts w:ascii="Calibri" w:hAnsi="Calibri"/>
                <w:sz w:val="22"/>
              </w:rPr>
              <w:t>$8.598B</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$0.700</w:t>
            </w:r>
          </w:p>
        </w:tc>
        <w:tc>
          <w:tcPr>
            <w:tcW w:type="dxa" w:w="1440"/>
          </w:tcPr>
          <w:p>
            <w:r>
              <w:rPr>
                <w:rFonts w:ascii="Calibri" w:hAnsi="Calibri"/>
                <w:sz w:val="22"/>
              </w:rPr>
              <w:t>$0.738</w:t>
            </w:r>
          </w:p>
        </w:tc>
        <w:tc>
          <w:tcPr>
            <w:tcW w:type="dxa" w:w="1440"/>
          </w:tcPr>
          <w:p>
            <w:r>
              <w:rPr>
                <w:rFonts w:ascii="Calibri" w:hAnsi="Calibri"/>
                <w:b/>
                <w:color w:val="E5484D"/>
                <w:sz w:val="22"/>
              </w:rPr>
              <w:t>-5.2%</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$9.398B</w:t>
            </w:r>
          </w:p>
        </w:tc>
        <w:tc>
          <w:tcPr>
            <w:tcW w:type="dxa" w:w="1440"/>
          </w:tcPr>
          <w:p>
            <w:r>
              <w:rPr>
                <w:rFonts w:ascii="Calibri" w:hAnsi="Calibri"/>
                <w:sz w:val="22"/>
              </w:rPr>
              <w:t>$8.475B</w:t>
            </w:r>
          </w:p>
        </w:tc>
        <w:tc>
          <w:tcPr>
            <w:tcW w:type="dxa" w:w="1440"/>
          </w:tcPr>
          <w:p>
            <w:r>
              <w:rPr>
                <w:rFonts w:ascii="Calibri" w:hAnsi="Calibri"/>
                <w:b/>
                <w:color w:val="30A46C"/>
                <w:sz w:val="22"/>
              </w:rPr>
              <w:t>+10.9%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$0.718</w:t>
            </w:r>
          </w:p>
        </w:tc>
        <w:tc>
          <w:tcPr>
            <w:tcW w:type="dxa" w:w="1440"/>
          </w:tcPr>
          <w:p>
            <w:r>
              <w:rPr>
                <w:rFonts w:ascii="Calibri" w:hAnsi="Calibri"/>
                <w:sz w:val="22"/>
              </w:rPr>
              <w:t>$0.720</w:t>
            </w:r>
          </w:p>
        </w:tc>
        <w:tc>
          <w:tcPr>
            <w:tcW w:type="dxa" w:w="1440"/>
          </w:tcPr>
          <w:p>
            <w:r>
              <w:rPr>
                <w:rFonts w:ascii="Calibri" w:hAnsi="Calibri"/>
                <w:b/>
                <w:color w:val="E5484D"/>
                <w:sz w:val="22"/>
              </w:rPr>
              <w:t>-0.3%</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$8.928B</w:t>
            </w:r>
          </w:p>
        </w:tc>
        <w:tc>
          <w:tcPr>
            <w:tcW w:type="dxa" w:w="1440"/>
          </w:tcPr>
          <w:p>
            <w:r>
              <w:rPr>
                <w:rFonts w:ascii="Calibri" w:hAnsi="Calibri"/>
                <w:sz w:val="22"/>
              </w:rPr>
              <w:t>$8.880B</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$0.690</w:t>
            </w:r>
          </w:p>
        </w:tc>
        <w:tc>
          <w:tcPr>
            <w:tcW w:type="dxa" w:w="1440"/>
          </w:tcPr>
          <w:p>
            <w:r>
              <w:rPr>
                <w:rFonts w:ascii="Calibri" w:hAnsi="Calibri"/>
                <w:sz w:val="22"/>
              </w:rPr>
              <w:t>$0.656</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$9.745B</w:t>
            </w:r>
          </w:p>
        </w:tc>
        <w:tc>
          <w:tcPr>
            <w:tcW w:type="dxa" w:w="1440"/>
          </w:tcPr>
          <w:p>
            <w:r>
              <w:rPr>
                <w:rFonts w:ascii="Calibri" w:hAnsi="Calibri"/>
                <w:sz w:val="22"/>
              </w:rPr>
              <w:t>$9.564B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$0.780</w:t>
            </w:r>
          </w:p>
        </w:tc>
        <w:tc>
          <w:tcPr>
            <w:tcW w:type="dxa" w:w="1440"/>
          </w:tcPr>
          <w:p>
            <w:r>
              <w:rPr>
                <w:rFonts w:ascii="Calibri" w:hAnsi="Calibri"/>
                <w:sz w:val="22"/>
              </w:rPr>
              <w:t>$0.745</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$8.721B</w:t>
            </w:r>
          </w:p>
        </w:tc>
        <w:tc>
          <w:tcPr>
            <w:tcW w:type="dxa" w:w="1440"/>
          </w:tcPr>
          <w:p>
            <w:r>
              <w:rPr>
                <w:rFonts w:ascii="Calibri" w:hAnsi="Calibri"/>
                <w:sz w:val="22"/>
              </w:rPr>
              <w:t>$8.634B</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$0.520</w:t>
            </w:r>
          </w:p>
        </w:tc>
        <w:tc>
          <w:tcPr>
            <w:tcW w:type="dxa" w:w="1440"/>
          </w:tcPr>
          <w:p>
            <w:r>
              <w:rPr>
                <w:rFonts w:ascii="Calibri" w:hAnsi="Calibri"/>
                <w:sz w:val="22"/>
              </w:rPr>
              <w:t>$0.505</w:t>
            </w:r>
          </w:p>
        </w:tc>
        <w:tc>
          <w:tcPr>
            <w:tcW w:type="dxa" w:w="1440"/>
          </w:tcPr>
          <w:p>
            <w:r>
              <w:rPr>
                <w:rFonts w:ascii="Calibri" w:hAnsi="Calibri"/>
                <w:b/>
                <w:color w:val="30A46C"/>
                <w:sz w:val="22"/>
              </w:rPr>
              <w:t>+3.0%</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SLB has beaten revenue consensus in all 8 of the last 8 quarters, often by a wide margin when consensus was set conservatively; EPS has been more mixed (4 beats, 2 misses, 2 in-line), with misses concentrated in periods of elevated disruption (Q3 2024, Q1 2025). With consensus now reset to a low bar, the revenue beat streak is likely to continue, but EPS is the swing factor given Middle East cost headwinds.</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remained deliberately cautious since the Q1 print — no full-year guidance was provided, and the Q2 outlook was framed as scenario-dependent. The June 17 Digital Investor Day introduced constructive long-term digital targets but offered no revision to near-term financial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24, 2026)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Flat to Q1 (~$8.72B) under base scenario: ME disruption persists through mid-Q2, then gradually eases; offset by mid-to-high single-digit growth in other intl markets</w:t>
            </w:r>
          </w:p>
        </w:tc>
        <w:tc>
          <w:tcPr>
            <w:tcW w:type="dxa" w:w="1728"/>
          </w:tcPr>
          <w:p>
            <w:r>
              <w:rPr>
                <w:rFonts w:ascii="Calibri" w:hAnsi="Calibri"/>
                <w:sz w:val="22"/>
              </w:rPr>
              <w:t>—</w:t>
            </w:r>
          </w:p>
        </w:tc>
        <w:tc>
          <w:tcPr>
            <w:tcW w:type="dxa" w:w="1728"/>
          </w:tcPr>
          <w:p>
            <w:r>
              <w:rPr>
                <w:rFonts w:ascii="Calibri" w:hAnsi="Calibri"/>
                <w:sz w:val="22"/>
              </w:rPr>
              <w:t>$8.681B</w:t>
            </w:r>
          </w:p>
        </w:tc>
        <w:tc>
          <w:tcPr>
            <w:tcW w:type="dxa" w:w="1728"/>
          </w:tcPr>
          <w:p>
            <w:r>
              <w:rPr>
                <w:rFonts w:ascii="Calibri" w:hAnsi="Calibri"/>
                <w:sz w:val="22"/>
              </w:rPr>
              <w:t>No post-earnings revision; consensus tracking slightly below Q1 actual, consistent with guidance scenario</w:t>
            </w:r>
          </w:p>
        </w:tc>
      </w:tr>
      <w:tr>
        <w:tc>
          <w:tcPr>
            <w:tcW w:type="dxa" w:w="1728"/>
          </w:tcPr>
          <w:p>
            <w:r>
              <w:rPr>
                <w:rFonts w:ascii="Calibri" w:hAnsi="Calibri"/>
                <w:sz w:val="22"/>
              </w:rPr>
              <w:t>Q2 2026 Adj. EPS</w:t>
            </w:r>
          </w:p>
        </w:tc>
        <w:tc>
          <w:tcPr>
            <w:tcW w:type="dxa" w:w="1728"/>
          </w:tcPr>
          <w:p>
            <w:r>
              <w:rPr>
                <w:rFonts w:ascii="Calibri" w:hAnsi="Calibri"/>
                <w:sz w:val="22"/>
              </w:rPr>
              <w:t>ME to drag Q2 EPS by incremental $0.06–0.08 vs. Q1 ($0.52); implies Q2 EPS ~$0.44–0.46 under pure ME headwind, offset by intl growth to land near Q1 levels</w:t>
            </w:r>
          </w:p>
        </w:tc>
        <w:tc>
          <w:tcPr>
            <w:tcW w:type="dxa" w:w="1728"/>
          </w:tcPr>
          <w:p>
            <w:r>
              <w:rPr>
                <w:rFonts w:ascii="Calibri" w:hAnsi="Calibri"/>
                <w:sz w:val="22"/>
              </w:rPr>
              <w:t>—</w:t>
            </w:r>
          </w:p>
        </w:tc>
        <w:tc>
          <w:tcPr>
            <w:tcW w:type="dxa" w:w="1728"/>
          </w:tcPr>
          <w:p>
            <w:r>
              <w:rPr>
                <w:rFonts w:ascii="Calibri" w:hAnsi="Calibri"/>
                <w:sz w:val="22"/>
              </w:rPr>
              <w:t>$0.506</w:t>
            </w:r>
          </w:p>
        </w:tc>
        <w:tc>
          <w:tcPr>
            <w:tcW w:type="dxa" w:w="1728"/>
          </w:tcPr>
          <w:p>
            <w:r>
              <w:rPr>
                <w:rFonts w:ascii="Calibri" w:hAnsi="Calibri"/>
                <w:sz w:val="22"/>
              </w:rPr>
              <w:t>Consensus slightly above the low end of the implied scenario range; reflects partial offset from intl growth</w:t>
            </w:r>
          </w:p>
        </w:tc>
      </w:tr>
      <w:tr>
        <w:tc>
          <w:tcPr>
            <w:tcW w:type="dxa" w:w="1728"/>
          </w:tcPr>
          <w:p>
            <w:r>
              <w:rPr>
                <w:rFonts w:ascii="Calibri" w:hAnsi="Calibri"/>
                <w:sz w:val="22"/>
              </w:rPr>
              <w:t>Q2 2026 Free Cash Flow</w:t>
            </w:r>
          </w:p>
        </w:tc>
        <w:tc>
          <w:tcPr>
            <w:tcW w:type="dxa" w:w="1728"/>
          </w:tcPr>
          <w:p>
            <w:r>
              <w:rPr>
                <w:rFonts w:ascii="Calibri" w:hAnsi="Calibri"/>
                <w:sz w:val="22"/>
              </w:rPr>
              <w:t>FCF to follow historical pattern; gradual improvement through year; majority in H2</w:t>
            </w:r>
          </w:p>
        </w:tc>
        <w:tc>
          <w:tcPr>
            <w:tcW w:type="dxa" w:w="1728"/>
          </w:tcPr>
          <w:p>
            <w:r>
              <w:rPr>
                <w:rFonts w:ascii="Calibri" w:hAnsi="Calibri"/>
                <w:sz w:val="22"/>
              </w:rPr>
              <w:t>—</w:t>
            </w:r>
          </w:p>
        </w:tc>
        <w:tc>
          <w:tcPr>
            <w:tcW w:type="dxa" w:w="1728"/>
          </w:tcPr>
          <w:p>
            <w:r>
              <w:rPr>
                <w:rFonts w:ascii="Calibri" w:hAnsi="Calibri"/>
                <w:sz w:val="22"/>
              </w:rPr>
              <w:t>$0.373B</w:t>
            </w:r>
          </w:p>
        </w:tc>
        <w:tc>
          <w:tcPr>
            <w:tcW w:type="dxa" w:w="1728"/>
          </w:tcPr>
          <w:p>
            <w:r>
              <w:rPr>
                <w:rFonts w:ascii="Calibri" w:hAnsi="Calibri"/>
                <w:sz w:val="22"/>
              </w:rPr>
              <w:t>No specific Q2 FCF guidance; consensus implies meaningful sequential improvement from -$23M in Q1</w:t>
            </w:r>
          </w:p>
        </w:tc>
      </w:tr>
      <w:tr>
        <w:tc>
          <w:tcPr>
            <w:tcW w:type="dxa" w:w="1728"/>
          </w:tcPr>
          <w:p>
            <w:r>
              <w:rPr>
                <w:rFonts w:ascii="Calibri" w:hAnsi="Calibri"/>
                <w:sz w:val="22"/>
              </w:rPr>
              <w:t>North America Revenue</w:t>
            </w:r>
          </w:p>
        </w:tc>
        <w:tc>
          <w:tcPr>
            <w:tcW w:type="dxa" w:w="1728"/>
          </w:tcPr>
          <w:p>
            <w:r>
              <w:rPr>
                <w:rFonts w:ascii="Calibri" w:hAnsi="Calibri"/>
                <w:sz w:val="22"/>
              </w:rPr>
              <w:t>Flat sequentially vs. Q1 ($2.167B)</w:t>
            </w:r>
          </w:p>
        </w:tc>
        <w:tc>
          <w:tcPr>
            <w:tcW w:type="dxa" w:w="1728"/>
          </w:tcPr>
          <w:p>
            <w:r>
              <w:rPr>
                <w:rFonts w:ascii="Calibri" w:hAnsi="Calibri"/>
                <w:sz w:val="22"/>
              </w:rPr>
              <w:t>—</w:t>
            </w:r>
          </w:p>
        </w:tc>
        <w:tc>
          <w:tcPr>
            <w:tcW w:type="dxa" w:w="1728"/>
          </w:tcPr>
          <w:p>
            <w:r>
              <w:rPr>
                <w:rFonts w:ascii="Calibri" w:hAnsi="Calibri"/>
                <w:sz w:val="22"/>
              </w:rPr>
              <w:t>$2.157B</w:t>
            </w:r>
          </w:p>
        </w:tc>
        <w:tc>
          <w:tcPr>
            <w:tcW w:type="dxa" w:w="1728"/>
          </w:tcPr>
          <w:p>
            <w:r>
              <w:rPr>
                <w:rFonts w:ascii="Calibri" w:hAnsi="Calibri"/>
                <w:sz w:val="22"/>
              </w:rPr>
              <w:t>Consensus in-line with flat guidance; no revision</w:t>
            </w:r>
          </w:p>
        </w:tc>
      </w:tr>
      <w:tr>
        <w:tc>
          <w:tcPr>
            <w:tcW w:type="dxa" w:w="1728"/>
          </w:tcPr>
          <w:p>
            <w:r>
              <w:rPr>
                <w:rFonts w:ascii="Calibri" w:hAnsi="Calibri"/>
                <w:sz w:val="22"/>
              </w:rPr>
              <w:t>Digital &amp; Production Systems</w:t>
            </w:r>
          </w:p>
        </w:tc>
        <w:tc>
          <w:tcPr>
            <w:tcW w:type="dxa" w:w="1728"/>
          </w:tcPr>
          <w:p>
            <w:r>
              <w:rPr>
                <w:rFonts w:ascii="Calibri" w:hAnsi="Calibri"/>
                <w:sz w:val="22"/>
              </w:rPr>
              <w:t>Both divisions expected to grow globally in Q2 under base scenario</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Digital Investor Day (Jun 17) reaffirmed 10–15% CAGR target through 2030; Data Center Solutions targeting $1B run rate by year-end</w:t>
            </w:r>
          </w:p>
        </w:tc>
      </w:tr>
      <w:tr>
        <w:tc>
          <w:tcPr>
            <w:tcW w:type="dxa" w:w="1728"/>
          </w:tcPr>
          <w:p>
            <w:r>
              <w:rPr>
                <w:rFonts w:ascii="Calibri" w:hAnsi="Calibri"/>
                <w:sz w:val="22"/>
              </w:rPr>
              <w:t>FY 2026 Guidance</w:t>
            </w:r>
          </w:p>
        </w:tc>
        <w:tc>
          <w:tcPr>
            <w:tcW w:type="dxa" w:w="1728"/>
          </w:tcPr>
          <w:p>
            <w:r>
              <w:rPr>
                <w:rFonts w:ascii="Calibri" w:hAnsi="Calibri"/>
                <w:sz w:val="22"/>
              </w:rPr>
              <w:t>Withheld — management declined to provide full-year guidance due to geopolitical uncertainty</w:t>
            </w:r>
          </w:p>
        </w:tc>
        <w:tc>
          <w:tcPr>
            <w:tcW w:type="dxa" w:w="1728"/>
          </w:tcPr>
          <w:p>
            <w:r>
              <w:rPr>
                <w:rFonts w:ascii="Calibri" w:hAnsi="Calibri"/>
                <w:sz w:val="22"/>
              </w:rPr>
              <w:t>—</w:t>
            </w:r>
          </w:p>
        </w:tc>
        <w:tc>
          <w:tcPr>
            <w:tcW w:type="dxa" w:w="1728"/>
          </w:tcPr>
          <w:p>
            <w:r>
              <w:rPr>
                <w:rFonts w:ascii="Calibri" w:hAnsi="Calibri"/>
                <w:sz w:val="22"/>
              </w:rPr>
              <w:t>$36.46B revenue; $2.51 adj. EPS; $7.98B EBITDA</w:t>
            </w:r>
          </w:p>
        </w:tc>
        <w:tc>
          <w:tcPr>
            <w:tcW w:type="dxa" w:w="1728"/>
          </w:tcPr>
          <w:p>
            <w:r>
              <w:rPr>
                <w:rFonts w:ascii="Calibri" w:hAnsi="Calibri"/>
                <w:sz w:val="22"/>
              </w:rPr>
              <w:t>No formal guidance anchor; consensus is the market’s own estimate. Watch for any FY guidance reinstatement on Q2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cut sharply and consistently since the Q1 print — Q2 EPS is down ~13% and FY 2026 EPS is down ~6% from the post-Q1 baseline — tracking guidance lower in an orderly fashion. The gap between current consensus and the initial post-Q1 baseline represents cushion, not risk, if the Middle East recovery accelerates.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$8.686B</w:t>
            </w:r>
          </w:p>
        </w:tc>
        <w:tc>
          <w:tcPr>
            <w:tcW w:type="dxa" w:w="1080"/>
          </w:tcPr>
          <w:p>
            <w:r>
              <w:rPr>
                <w:rFonts w:ascii="Calibri" w:hAnsi="Calibri"/>
                <w:sz w:val="22"/>
              </w:rPr>
              <w:t>$8.681B</w:t>
            </w:r>
          </w:p>
        </w:tc>
        <w:tc>
          <w:tcPr>
            <w:tcW w:type="dxa" w:w="1080"/>
          </w:tcPr>
          <w:p>
            <w:r>
              <w:rPr>
                <w:rFonts w:ascii="Calibri" w:hAnsi="Calibri"/>
                <w:sz w:val="22"/>
              </w:rPr>
              <w:t>-0.1%</w:t>
            </w:r>
          </w:p>
        </w:tc>
        <w:tc>
          <w:tcPr>
            <w:tcW w:type="dxa" w:w="1080"/>
          </w:tcPr>
          <w:p>
            <w:r>
              <w:rPr>
                <w:rFonts w:ascii="Calibri" w:hAnsi="Calibri"/>
                <w:sz w:val="22"/>
              </w:rPr>
              <w:t>~Flat to Q1 (~$8.72B)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Q1 actual</w:t>
            </w:r>
          </w:p>
        </w:tc>
      </w:tr>
      <w:tr>
        <w:tc>
          <w:tcPr>
            <w:tcW w:type="dxa" w:w="1080"/>
          </w:tcPr>
          <w:p>
            <w:r>
              <w:rPr>
                <w:rFonts w:ascii="Calibri" w:hAnsi="Calibri"/>
                <w:sz w:val="22"/>
              </w:rPr>
              <w:t>Total Revenue — FY 2026</w:t>
            </w:r>
          </w:p>
        </w:tc>
        <w:tc>
          <w:tcPr>
            <w:tcW w:type="dxa" w:w="1080"/>
          </w:tcPr>
          <w:p>
            <w:r>
              <w:rPr>
                <w:rFonts w:ascii="Calibri" w:hAnsi="Calibri"/>
                <w:sz w:val="22"/>
              </w:rPr>
              <w:t>$36.487B</w:t>
            </w:r>
          </w:p>
        </w:tc>
        <w:tc>
          <w:tcPr>
            <w:tcW w:type="dxa" w:w="1080"/>
          </w:tcPr>
          <w:p>
            <w:r>
              <w:rPr>
                <w:rFonts w:ascii="Calibri" w:hAnsi="Calibri"/>
                <w:sz w:val="22"/>
              </w:rPr>
              <w:t>$36.461B</w:t>
            </w:r>
          </w:p>
        </w:tc>
        <w:tc>
          <w:tcPr>
            <w:tcW w:type="dxa" w:w="1080"/>
          </w:tcPr>
          <w:p>
            <w:r>
              <w:rPr>
                <w:rFonts w:ascii="Calibri" w:hAnsi="Calibri"/>
                <w:sz w:val="22"/>
              </w:rPr>
              <w:t>-0.1%</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$0.581</w:t>
            </w:r>
          </w:p>
        </w:tc>
        <w:tc>
          <w:tcPr>
            <w:tcW w:type="dxa" w:w="1080"/>
          </w:tcPr>
          <w:p>
            <w:r>
              <w:rPr>
                <w:rFonts w:ascii="Calibri" w:hAnsi="Calibri"/>
                <w:sz w:val="22"/>
              </w:rPr>
              <w:t>$0.506</w:t>
            </w:r>
          </w:p>
        </w:tc>
        <w:tc>
          <w:tcPr>
            <w:tcW w:type="dxa" w:w="1080"/>
          </w:tcPr>
          <w:p>
            <w:r>
              <w:rPr>
                <w:rFonts w:ascii="Calibri" w:hAnsi="Calibri"/>
                <w:b/>
                <w:color w:val="E5484D"/>
                <w:sz w:val="22"/>
              </w:rPr>
              <w:t>-12.9%</w:t>
            </w:r>
          </w:p>
        </w:tc>
        <w:tc>
          <w:tcPr>
            <w:tcW w:type="dxa" w:w="1080"/>
          </w:tcPr>
          <w:p>
            <w:r>
              <w:rPr>
                <w:rFonts w:ascii="Calibri" w:hAnsi="Calibri"/>
                <w:sz w:val="22"/>
              </w:rPr>
              <w:t>ME drag of $0.06–0.08 vs. Q1; net ~flat to Q1 ($0.52) under offset scenario</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vs. Q1 midpoint</w:t>
            </w:r>
          </w:p>
        </w:tc>
      </w:tr>
      <w:tr>
        <w:tc>
          <w:tcPr>
            <w:tcW w:type="dxa" w:w="1080"/>
          </w:tcPr>
          <w:p>
            <w:r>
              <w:rPr>
                <w:rFonts w:ascii="Calibri" w:hAnsi="Calibri"/>
                <w:sz w:val="22"/>
              </w:rPr>
              <w:t>Adj. EPS — FY 2026</w:t>
            </w:r>
          </w:p>
        </w:tc>
        <w:tc>
          <w:tcPr>
            <w:tcW w:type="dxa" w:w="1080"/>
          </w:tcPr>
          <w:p>
            <w:r>
              <w:rPr>
                <w:rFonts w:ascii="Calibri" w:hAnsi="Calibri"/>
                <w:sz w:val="22"/>
              </w:rPr>
              <w:t>$2.686</w:t>
            </w:r>
          </w:p>
        </w:tc>
        <w:tc>
          <w:tcPr>
            <w:tcW w:type="dxa" w:w="1080"/>
          </w:tcPr>
          <w:p>
            <w:r>
              <w:rPr>
                <w:rFonts w:ascii="Calibri" w:hAnsi="Calibri"/>
                <w:sz w:val="22"/>
              </w:rPr>
              <w:t>$2.515</w:t>
            </w:r>
          </w:p>
        </w:tc>
        <w:tc>
          <w:tcPr>
            <w:tcW w:type="dxa" w:w="1080"/>
          </w:tcPr>
          <w:p>
            <w:r>
              <w:rPr>
                <w:rFonts w:ascii="Calibri" w:hAnsi="Calibri"/>
                <w:b/>
                <w:color w:val="E5484D"/>
                <w:sz w:val="22"/>
              </w:rPr>
              <w:t>-6.4%</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Q2 2026</w:t>
            </w:r>
          </w:p>
        </w:tc>
        <w:tc>
          <w:tcPr>
            <w:tcW w:type="dxa" w:w="1080"/>
          </w:tcPr>
          <w:p>
            <w:r>
              <w:rPr>
                <w:rFonts w:ascii="Calibri" w:hAnsi="Calibri"/>
                <w:sz w:val="22"/>
              </w:rPr>
              <w:t>$1.809B</w:t>
            </w:r>
          </w:p>
        </w:tc>
        <w:tc>
          <w:tcPr>
            <w:tcW w:type="dxa" w:w="1080"/>
          </w:tcPr>
          <w:p>
            <w:r>
              <w:rPr>
                <w:rFonts w:ascii="Calibri" w:hAnsi="Calibri"/>
                <w:sz w:val="22"/>
              </w:rPr>
              <w:t>$1.784B</w:t>
            </w:r>
          </w:p>
        </w:tc>
        <w:tc>
          <w:tcPr>
            <w:tcW w:type="dxa" w:w="1080"/>
          </w:tcPr>
          <w:p>
            <w:r>
              <w:rPr>
                <w:rFonts w:ascii="Calibri" w:hAnsi="Calibri"/>
                <w:sz w:val="22"/>
              </w:rPr>
              <w:t>-1.4%</w:t>
            </w:r>
          </w:p>
        </w:tc>
        <w:tc>
          <w:tcPr>
            <w:tcW w:type="dxa" w:w="1080"/>
          </w:tcPr>
          <w:p>
            <w:r>
              <w:rPr>
                <w:rFonts w:ascii="Calibri" w:hAnsi="Calibri"/>
                <w:sz w:val="22"/>
              </w:rPr>
              <w:t>No explicit EBITDA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FY 2026</w:t>
            </w:r>
          </w:p>
        </w:tc>
        <w:tc>
          <w:tcPr>
            <w:tcW w:type="dxa" w:w="1080"/>
          </w:tcPr>
          <w:p>
            <w:r>
              <w:rPr>
                <w:rFonts w:ascii="Calibri" w:hAnsi="Calibri"/>
                <w:sz w:val="22"/>
              </w:rPr>
              <w:t>$8.181B</w:t>
            </w:r>
          </w:p>
        </w:tc>
        <w:tc>
          <w:tcPr>
            <w:tcW w:type="dxa" w:w="1080"/>
          </w:tcPr>
          <w:p>
            <w:r>
              <w:rPr>
                <w:rFonts w:ascii="Calibri" w:hAnsi="Calibri"/>
                <w:sz w:val="22"/>
              </w:rPr>
              <w:t>$7.976B</w:t>
            </w:r>
          </w:p>
        </w:tc>
        <w:tc>
          <w:tcPr>
            <w:tcW w:type="dxa" w:w="1080"/>
          </w:tcPr>
          <w:p>
            <w:r>
              <w:rPr>
                <w:rFonts w:ascii="Calibri" w:hAnsi="Calibri"/>
                <w:b/>
                <w:color w:val="E5484D"/>
                <w:sz w:val="22"/>
              </w:rPr>
              <w:t>-2.5%</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 xml:space="preserve">The sharpest revision has been to Q2 EPS (-12.9% from the post-Q1 baseline), driven by the market pricing in the full Middle East EPS drag of $0.06–0.08 with limited offset. Revenue estimates have been remarkably stable (-0.1%), consistent with management’s scenario that ME revenue losses would be offset by other international markets. The absence of FY guidance means there is no formal anchor for full-year estimates, creating potential for a wide range of outcomes if the Middle East recovery trajectory becomes clearer on the Q2 call. </w:t>
      </w:r>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SLB has dramatically underperformed both XLE and the S&amp;P 500 since the Q1 print — down ~16% vs. XLE -4% and SPY +3% — driven almost entirely by multiple compression and Middle East sentiment, not estimate revisions. At ~9.2x NTM EV/EBITDA, the stock is pricing in a prolonged disruption scenario.</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SLB</w:t>
            </w:r>
          </w:p>
        </w:tc>
        <w:tc>
          <w:tcPr>
            <w:tcW w:type="dxa" w:w="2160"/>
            <w:shd w:val="clear" w:color="auto" w:fill="3B4259"/>
          </w:tcPr>
          <w:p>
            <w:r>
              <w:rPr>
                <w:rFonts w:ascii="Calibri" w:hAnsi="Calibri"/>
                <w:b/>
                <w:color w:val="FFFFFF"/>
                <w:sz w:val="22"/>
              </w:rPr>
              <w:t>XLE</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Q1 Earnings (Apr 24, 2026)</w:t>
            </w:r>
          </w:p>
        </w:tc>
        <w:tc>
          <w:tcPr>
            <w:tcW w:type="dxa" w:w="2160"/>
          </w:tcPr>
          <w:p>
            <w:r>
              <w:rPr>
                <w:rFonts w:ascii="Calibri" w:hAnsi="Calibri"/>
                <w:sz w:val="22"/>
              </w:rPr>
              <w:t>$56.15</w:t>
            </w:r>
          </w:p>
        </w:tc>
        <w:tc>
          <w:tcPr>
            <w:tcW w:type="dxa" w:w="2160"/>
          </w:tcPr>
          <w:p>
            <w:r>
              <w:rPr>
                <w:rFonts w:ascii="Calibri" w:hAnsi="Calibri"/>
                <w:sz w:val="22"/>
              </w:rPr>
              <w:t>$56.87</w:t>
            </w:r>
          </w:p>
        </w:tc>
        <w:tc>
          <w:tcPr>
            <w:tcW w:type="dxa" w:w="2160"/>
          </w:tcPr>
          <w:p>
            <w:r>
              <w:rPr>
                <w:rFonts w:ascii="Calibri" w:hAnsi="Calibri"/>
                <w:sz w:val="22"/>
              </w:rPr>
              <w:t>$713.94</w:t>
            </w:r>
          </w:p>
        </w:tc>
      </w:tr>
      <w:tr>
        <w:tc>
          <w:tcPr>
            <w:tcW w:type="dxa" w:w="2160"/>
          </w:tcPr>
          <w:p>
            <w:r>
              <w:rPr>
                <w:rFonts w:ascii="Calibri" w:hAnsi="Calibri"/>
                <w:sz w:val="22"/>
              </w:rPr>
              <w:t>Price as of Jul 22, 2026</w:t>
            </w:r>
          </w:p>
        </w:tc>
        <w:tc>
          <w:tcPr>
            <w:tcW w:type="dxa" w:w="2160"/>
          </w:tcPr>
          <w:p>
            <w:r>
              <w:rPr>
                <w:rFonts w:ascii="Calibri" w:hAnsi="Calibri"/>
                <w:sz w:val="22"/>
              </w:rPr>
              <w:t>$47.67</w:t>
            </w:r>
          </w:p>
        </w:tc>
        <w:tc>
          <w:tcPr>
            <w:tcW w:type="dxa" w:w="2160"/>
          </w:tcPr>
          <w:p>
            <w:r>
              <w:rPr>
                <w:rFonts w:ascii="Calibri" w:hAnsi="Calibri"/>
                <w:sz w:val="22"/>
              </w:rPr>
              <w:t>$59.20</w:t>
            </w:r>
          </w:p>
        </w:tc>
        <w:tc>
          <w:tcPr>
            <w:tcW w:type="dxa" w:w="2160"/>
          </w:tcPr>
          <w:p>
            <w:r>
              <w:rPr>
                <w:rFonts w:ascii="Calibri" w:hAnsi="Calibri"/>
                <w:sz w:val="22"/>
              </w:rPr>
              <w:t>$747.41</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-15.1%</w:t>
            </w:r>
          </w:p>
        </w:tc>
        <w:tc>
          <w:tcPr>
            <w:tcW w:type="dxa" w:w="2160"/>
          </w:tcPr>
          <w:p>
            <w:r>
              <w:rPr>
                <w:rFonts w:ascii="Calibri" w:hAnsi="Calibri"/>
                <w:b/>
                <w:color w:val="30A46C"/>
                <w:sz w:val="22"/>
              </w:rPr>
              <w:t>+4.1%</w:t>
            </w:r>
          </w:p>
        </w:tc>
        <w:tc>
          <w:tcPr>
            <w:tcW w:type="dxa" w:w="2160"/>
          </w:tcPr>
          <w:p>
            <w:r>
              <w:rPr>
                <w:rFonts w:ascii="Calibri" w:hAnsi="Calibri"/>
                <w:b/>
                <w:color w:val="30A46C"/>
                <w:sz w:val="22"/>
              </w:rPr>
              <w:t>+4.7%</w:t>
            </w:r>
          </w:p>
        </w:tc>
      </w:tr>
      <w:tr>
        <w:tc>
          <w:tcPr>
            <w:tcW w:type="dxa" w:w="2160"/>
          </w:tcPr>
          <w:p>
            <w:r>
              <w:rPr>
                <w:rFonts w:ascii="Calibri" w:hAnsi="Calibri"/>
                <w:sz w:val="22"/>
              </w:rPr>
              <w:t>SLB vs. XLE (Relative)</w:t>
            </w:r>
          </w:p>
        </w:tc>
        <w:tc>
          <w:tcPr>
            <w:tcW w:type="dxa" w:w="2160"/>
          </w:tcPr>
          <w:p>
            <w:r>
              <w:rPr>
                <w:rFonts w:ascii="Calibri" w:hAnsi="Calibri"/>
                <w:b/>
                <w:color w:val="E5484D"/>
                <w:sz w:val="22"/>
              </w:rPr>
              <w:t>-19.2 ppts</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NTM EV/EBITDA (Current)</w:t>
            </w:r>
          </w:p>
        </w:tc>
        <w:tc>
          <w:tcPr>
            <w:tcW w:type="dxa" w:w="2160"/>
          </w:tcPr>
          <w:p>
            <w:r>
              <w:rPr>
                <w:rFonts w:ascii="Calibri" w:hAnsi="Calibri"/>
                <w:sz w:val="22"/>
              </w:rPr>
              <w:t>9.2x</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NTM P/E (Current)</w:t>
            </w:r>
          </w:p>
        </w:tc>
        <w:tc>
          <w:tcPr>
            <w:tcW w:type="dxa" w:w="2160"/>
          </w:tcPr>
          <w:p>
            <w:r>
              <w:rPr>
                <w:rFonts w:ascii="Calibri" w:hAnsi="Calibri"/>
                <w:sz w:val="22"/>
              </w:rPr>
              <w:t>16.0x</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NTM P/FCF (Current)</w:t>
            </w:r>
          </w:p>
        </w:tc>
        <w:tc>
          <w:tcPr>
            <w:tcW w:type="dxa" w:w="2160"/>
          </w:tcPr>
          <w:p>
            <w:r>
              <w:rPr>
                <w:rFonts w:ascii="Calibri" w:hAnsi="Calibri"/>
                <w:sz w:val="22"/>
              </w:rPr>
              <w:t>15.5x</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b/>
          <w:color w:val="525866"/>
          <w:sz w:val="22"/>
        </w:rPr>
        <w:t>Key Events Since Q1 Earnings (Apr 24, 2026):</w:t>
      </w:r>
    </w:p>
    <w:p>
      <w:pPr>
        <w:pStyle w:val="ListBullet"/>
        <w:ind w:left="360" w:hanging="360"/>
      </w:pPr>
      <w:r>
        <w:rPr>
          <w:rFonts w:ascii="Calibri" w:hAnsi="Calibri"/>
          <w:b/>
          <w:color w:val="525866"/>
          <w:sz w:val="22"/>
        </w:rPr>
        <w:t>Apr 24, 2026:</w:t>
      </w:r>
      <w:r>
        <w:rPr>
          <w:rFonts w:ascii="Calibri" w:hAnsi="Calibri"/>
          <w:color w:val="525866"/>
          <w:sz w:val="22"/>
        </w:rPr>
        <w:t xml:space="preserve"> Q1 2026 earnings — stock declined on the day despite modest beat; Middle East overhang and uncertain Q2 outlook weighed on sentiment.</w:t>
      </w:r>
    </w:p>
    <w:p>
      <w:pPr>
        <w:pStyle w:val="ListBullet"/>
        <w:ind w:left="360" w:hanging="360"/>
      </w:pPr>
      <w:r>
        <w:rPr>
          <w:rFonts w:ascii="Calibri" w:hAnsi="Calibri"/>
          <w:b/>
          <w:color w:val="525866"/>
          <w:sz w:val="22"/>
        </w:rPr>
        <w:t>May 12, 2026:</w:t>
      </w:r>
      <w:r>
        <w:rPr>
          <w:rFonts w:ascii="Calibri" w:hAnsi="Calibri"/>
          <w:color w:val="525866"/>
          <w:sz w:val="22"/>
        </w:rPr>
        <w:t xml:space="preserve"> SLB issued $2B in senior notes across three tranches (8-K) — balance sheet management; no material stock impact.</w:t>
      </w:r>
    </w:p>
    <w:p>
      <w:pPr>
        <w:pStyle w:val="ListBullet"/>
        <w:ind w:left="360" w:hanging="360"/>
      </w:pPr>
      <w:r>
        <w:rPr>
          <w:rFonts w:ascii="Calibri" w:hAnsi="Calibri"/>
          <w:b/>
          <w:color w:val="525866"/>
          <w:sz w:val="22"/>
        </w:rPr>
        <w:t>Jun 17, 2026:</w:t>
      </w:r>
      <w:r>
        <w:rPr>
          <w:rFonts w:ascii="Calibri" w:hAnsi="Calibri"/>
          <w:color w:val="525866"/>
          <w:sz w:val="22"/>
        </w:rPr>
        <w:t xml:space="preserve"> Digital Investor Day — stock declined sharply on the day (~-5.5% to $50.33); market appeared to sell the event despite constructive long-term digital targets (10–15% CAGR, ARR doubling to $2B by 2030). Likely reflects frustration with lack of near-term guidance.</w:t>
      </w:r>
    </w:p>
    <w:p>
      <w:pPr>
        <w:pStyle w:val="ListBullet"/>
        <w:ind w:left="360" w:hanging="360"/>
      </w:pPr>
      <w:r>
        <w:rPr>
          <w:rFonts w:ascii="Calibri" w:hAnsi="Calibri"/>
          <w:b/>
          <w:color w:val="525866"/>
          <w:sz w:val="22"/>
        </w:rPr>
        <w:t>Jun 17–Jul 1, 2026:</w:t>
      </w:r>
      <w:r>
        <w:rPr>
          <w:rFonts w:ascii="Calibri" w:hAnsi="Calibri"/>
          <w:color w:val="525866"/>
          <w:sz w:val="22"/>
        </w:rPr>
        <w:t xml:space="preserve"> Continued de-rating as Middle East conflict uncertainty persisted; stock fell from ~$56 to ~$45, a further ~20% decline.</w:t>
      </w:r>
    </w:p>
    <w:p>
      <w:pPr>
        <w:pStyle w:val="ListBullet"/>
        <w:ind w:left="360" w:hanging="360"/>
      </w:pPr>
      <w:r>
        <w:rPr>
          <w:rFonts w:ascii="Calibri" w:hAnsi="Calibri"/>
          <w:b/>
          <w:color w:val="525866"/>
          <w:sz w:val="22"/>
        </w:rPr>
        <w:t>Jul 7–22, 2026:</w:t>
      </w:r>
      <w:r>
        <w:rPr>
          <w:rFonts w:ascii="Calibri" w:hAnsi="Calibri"/>
          <w:color w:val="525866"/>
          <w:sz w:val="22"/>
        </w:rPr>
        <w:t xml:space="preserve"> Modest stabilization/recovery (+5–6%) as HAL and WFRD reported Q2 results confirming Middle East recovery underway, though incomplete.</w:t>
      </w:r>
    </w:p>
    <w:p>
      <w:r>
        <w:rPr>
          <w:rFonts w:ascii="Calibri" w:hAnsi="Calibri"/>
          <w:i/>
          <w:color w:val="525866"/>
          <w:sz w:val="22"/>
        </w:rPr>
        <w:t xml:space="preserve">Note: </w:t>
      </w:r>
      <w:r>
        <w:rPr>
          <w:rFonts w:ascii="Calibri" w:hAnsi="Calibri"/>
          <w:i/>
          <w:color w:val="525866"/>
          <w:sz w:val="22"/>
        </w:rPr>
        <w:t>Indexed performance chart (SLB vs. XLE vs. SPY, base = 100 at Apr 24, 2026) is based on daily closing prices. Source: Yahoo Finance / Stock Price Data.</w:t>
      </w:r>
    </w:p>
    <w:p>
      <w:pPr>
        <w:pStyle w:val="Heading3"/>
      </w:pPr>
      <w:r>
        <w:rPr>
          <w:rFonts w:ascii="Calibri" w:hAnsi="Calibri"/>
          <w:b/>
          <w:color w:val="3B4259"/>
          <w:sz w:val="24"/>
        </w:rPr>
        <w:t>Indexed Price Performance: SLB vs. XLE vs. S&amp;P 500 — Since Q1 2026 Earnings (Apr 24,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SLB (Indexed)</w:t>
            </w:r>
          </w:p>
        </w:tc>
        <w:tc>
          <w:tcPr>
            <w:tcW w:type="dxa" w:w="2160"/>
            <w:shd w:val="clear" w:color="auto" w:fill="3B4259"/>
          </w:tcPr>
          <w:p>
            <w:r>
              <w:rPr>
                <w:rFonts w:ascii="Calibri" w:hAnsi="Calibri"/>
                <w:b/>
                <w:color w:val="FFFFFF"/>
                <w:sz w:val="22"/>
              </w:rPr>
              <w:t>XLE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24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w:t>
            </w:r>
          </w:p>
        </w:tc>
        <w:tc>
          <w:tcPr>
            <w:tcW w:type="dxa" w:w="2160"/>
          </w:tcPr>
          <w:p>
            <w:r>
              <w:rPr>
                <w:rFonts w:ascii="Calibri" w:hAnsi="Calibri"/>
                <w:sz w:val="22"/>
              </w:rPr>
              <w:t>101.4</w:t>
            </w:r>
          </w:p>
        </w:tc>
        <w:tc>
          <w:tcPr>
            <w:tcW w:type="dxa" w:w="2160"/>
          </w:tcPr>
          <w:p>
            <w:r>
              <w:rPr>
                <w:rFonts w:ascii="Calibri" w:hAnsi="Calibri"/>
                <w:sz w:val="22"/>
              </w:rPr>
              <w:t>103.5</w:t>
            </w:r>
          </w:p>
        </w:tc>
        <w:tc>
          <w:tcPr>
            <w:tcW w:type="dxa" w:w="2160"/>
          </w:tcPr>
          <w:p>
            <w:r>
              <w:rPr>
                <w:rFonts w:ascii="Calibri" w:hAnsi="Calibri"/>
                <w:sz w:val="22"/>
              </w:rPr>
              <w:t>100.9</w:t>
            </w:r>
          </w:p>
        </w:tc>
      </w:tr>
      <w:tr>
        <w:tc>
          <w:tcPr>
            <w:tcW w:type="dxa" w:w="2160"/>
          </w:tcPr>
          <w:p>
            <w:r>
              <w:rPr>
                <w:rFonts w:ascii="Calibri" w:hAnsi="Calibri"/>
                <w:sz w:val="22"/>
              </w:rPr>
              <w:t>May 22</w:t>
            </w:r>
          </w:p>
        </w:tc>
        <w:tc>
          <w:tcPr>
            <w:tcW w:type="dxa" w:w="2160"/>
          </w:tcPr>
          <w:p>
            <w:r>
              <w:rPr>
                <w:rFonts w:ascii="Calibri" w:hAnsi="Calibri"/>
                <w:sz w:val="22"/>
              </w:rPr>
              <w:t>102.0</w:t>
            </w:r>
          </w:p>
        </w:tc>
        <w:tc>
          <w:tcPr>
            <w:tcW w:type="dxa" w:w="2160"/>
          </w:tcPr>
          <w:p>
            <w:r>
              <w:rPr>
                <w:rFonts w:ascii="Calibri" w:hAnsi="Calibri"/>
                <w:sz w:val="22"/>
              </w:rPr>
              <w:t>104.6</w:t>
            </w:r>
          </w:p>
        </w:tc>
        <w:tc>
          <w:tcPr>
            <w:tcW w:type="dxa" w:w="2160"/>
          </w:tcPr>
          <w:p>
            <w:r>
              <w:rPr>
                <w:rFonts w:ascii="Calibri" w:hAnsi="Calibri"/>
                <w:sz w:val="22"/>
              </w:rPr>
              <w:t>104.4</w:t>
            </w:r>
          </w:p>
        </w:tc>
      </w:tr>
      <w:tr>
        <w:tc>
          <w:tcPr>
            <w:tcW w:type="dxa" w:w="2160"/>
          </w:tcPr>
          <w:p>
            <w:r>
              <w:rPr>
                <w:rFonts w:ascii="Calibri" w:hAnsi="Calibri"/>
                <w:sz w:val="22"/>
              </w:rPr>
              <w:t>Jun 4 (Peak)</w:t>
            </w:r>
          </w:p>
        </w:tc>
        <w:tc>
          <w:tcPr>
            <w:tcW w:type="dxa" w:w="2160"/>
          </w:tcPr>
          <w:p>
            <w:r>
              <w:rPr>
                <w:rFonts w:ascii="Calibri" w:hAnsi="Calibri"/>
                <w:sz w:val="22"/>
              </w:rPr>
              <w:t>103.3</w:t>
            </w:r>
          </w:p>
        </w:tc>
        <w:tc>
          <w:tcPr>
            <w:tcW w:type="dxa" w:w="2160"/>
          </w:tcPr>
          <w:p>
            <w:r>
              <w:rPr>
                <w:rFonts w:ascii="Calibri" w:hAnsi="Calibri"/>
                <w:sz w:val="22"/>
              </w:rPr>
              <w:t>103.3</w:t>
            </w:r>
          </w:p>
        </w:tc>
        <w:tc>
          <w:tcPr>
            <w:tcW w:type="dxa" w:w="2160"/>
          </w:tcPr>
          <w:p>
            <w:r>
              <w:rPr>
                <w:rFonts w:ascii="Calibri" w:hAnsi="Calibri"/>
                <w:sz w:val="22"/>
              </w:rPr>
              <w:t>106.0</w:t>
            </w:r>
          </w:p>
        </w:tc>
      </w:tr>
      <w:tr>
        <w:tc>
          <w:tcPr>
            <w:tcW w:type="dxa" w:w="2160"/>
          </w:tcPr>
          <w:p>
            <w:r>
              <w:rPr>
                <w:rFonts w:ascii="Calibri" w:hAnsi="Calibri"/>
                <w:sz w:val="22"/>
              </w:rPr>
              <w:t>Jun 17 (Digital Day)</w:t>
            </w:r>
          </w:p>
        </w:tc>
        <w:tc>
          <w:tcPr>
            <w:tcW w:type="dxa" w:w="2160"/>
          </w:tcPr>
          <w:p>
            <w:r>
              <w:rPr>
                <w:rFonts w:ascii="Calibri" w:hAnsi="Calibri"/>
                <w:sz w:val="22"/>
              </w:rPr>
              <w:t>89.6</w:t>
            </w:r>
          </w:p>
        </w:tc>
        <w:tc>
          <w:tcPr>
            <w:tcW w:type="dxa" w:w="2160"/>
          </w:tcPr>
          <w:p>
            <w:r>
              <w:rPr>
                <w:rFonts w:ascii="Calibri" w:hAnsi="Calibri"/>
                <w:sz w:val="22"/>
              </w:rPr>
              <w:t>96.1</w:t>
            </w:r>
          </w:p>
        </w:tc>
        <w:tc>
          <w:tcPr>
            <w:tcW w:type="dxa" w:w="2160"/>
          </w:tcPr>
          <w:p>
            <w:r>
              <w:rPr>
                <w:rFonts w:ascii="Calibri" w:hAnsi="Calibri"/>
                <w:sz w:val="22"/>
              </w:rPr>
              <w:t>103.8</w:t>
            </w:r>
          </w:p>
        </w:tc>
      </w:tr>
      <w:tr>
        <w:tc>
          <w:tcPr>
            <w:tcW w:type="dxa" w:w="2160"/>
          </w:tcPr>
          <w:p>
            <w:r>
              <w:rPr>
                <w:rFonts w:ascii="Calibri" w:hAnsi="Calibri"/>
                <w:sz w:val="22"/>
              </w:rPr>
              <w:t>Jun 30</w:t>
            </w:r>
          </w:p>
        </w:tc>
        <w:tc>
          <w:tcPr>
            <w:tcW w:type="dxa" w:w="2160"/>
          </w:tcPr>
          <w:p>
            <w:r>
              <w:rPr>
                <w:rFonts w:ascii="Calibri" w:hAnsi="Calibri"/>
                <w:sz w:val="22"/>
              </w:rPr>
              <w:t>82.8</w:t>
            </w:r>
          </w:p>
        </w:tc>
        <w:tc>
          <w:tcPr>
            <w:tcW w:type="dxa" w:w="2160"/>
          </w:tcPr>
          <w:p>
            <w:r>
              <w:rPr>
                <w:rFonts w:ascii="Calibri" w:hAnsi="Calibri"/>
                <w:sz w:val="22"/>
              </w:rPr>
              <w:t>93.4</w:t>
            </w:r>
          </w:p>
        </w:tc>
        <w:tc>
          <w:tcPr>
            <w:tcW w:type="dxa" w:w="2160"/>
          </w:tcPr>
          <w:p>
            <w:r>
              <w:rPr>
                <w:rFonts w:ascii="Calibri" w:hAnsi="Calibri"/>
                <w:sz w:val="22"/>
              </w:rPr>
              <w:t>104.6</w:t>
            </w:r>
          </w:p>
        </w:tc>
      </w:tr>
      <w:tr>
        <w:tc>
          <w:tcPr>
            <w:tcW w:type="dxa" w:w="2160"/>
          </w:tcPr>
          <w:p>
            <w:r>
              <w:rPr>
                <w:rFonts w:ascii="Calibri" w:hAnsi="Calibri"/>
                <w:sz w:val="22"/>
              </w:rPr>
              <w:t>Jul 10</w:t>
            </w:r>
          </w:p>
        </w:tc>
        <w:tc>
          <w:tcPr>
            <w:tcW w:type="dxa" w:w="2160"/>
          </w:tcPr>
          <w:p>
            <w:r>
              <w:rPr>
                <w:rFonts w:ascii="Calibri" w:hAnsi="Calibri"/>
                <w:sz w:val="22"/>
              </w:rPr>
              <w:t>85.1</w:t>
            </w:r>
          </w:p>
        </w:tc>
        <w:tc>
          <w:tcPr>
            <w:tcW w:type="dxa" w:w="2160"/>
          </w:tcPr>
          <w:p>
            <w:r>
              <w:rPr>
                <w:rFonts w:ascii="Calibri" w:hAnsi="Calibri"/>
                <w:sz w:val="22"/>
              </w:rPr>
              <w:t>96.9</w:t>
            </w:r>
          </w:p>
        </w:tc>
        <w:tc>
          <w:tcPr>
            <w:tcW w:type="dxa" w:w="2160"/>
          </w:tcPr>
          <w:p>
            <w:r>
              <w:rPr>
                <w:rFonts w:ascii="Calibri" w:hAnsi="Calibri"/>
                <w:sz w:val="22"/>
              </w:rPr>
              <w:t>105.7</w:t>
            </w:r>
          </w:p>
        </w:tc>
      </w:tr>
      <w:tr>
        <w:tc>
          <w:tcPr>
            <w:tcW w:type="dxa" w:w="2160"/>
          </w:tcPr>
          <w:p>
            <w:r>
              <w:rPr>
                <w:rFonts w:ascii="Calibri" w:hAnsi="Calibri"/>
                <w:sz w:val="22"/>
              </w:rPr>
              <w:t>Jul 22</w:t>
            </w:r>
          </w:p>
        </w:tc>
        <w:tc>
          <w:tcPr>
            <w:tcW w:type="dxa" w:w="2160"/>
          </w:tcPr>
          <w:p>
            <w:r>
              <w:rPr>
                <w:rFonts w:ascii="Calibri" w:hAnsi="Calibri"/>
                <w:sz w:val="22"/>
              </w:rPr>
              <w:t>84.9</w:t>
            </w:r>
          </w:p>
        </w:tc>
        <w:tc>
          <w:tcPr>
            <w:tcW w:type="dxa" w:w="2160"/>
          </w:tcPr>
          <w:p>
            <w:r>
              <w:rPr>
                <w:rFonts w:ascii="Calibri" w:hAnsi="Calibri"/>
                <w:sz w:val="22"/>
              </w:rPr>
              <w:t>104.1</w:t>
            </w:r>
          </w:p>
        </w:tc>
        <w:tc>
          <w:tcPr>
            <w:tcW w:type="dxa" w:w="2160"/>
          </w:tcPr>
          <w:p>
            <w:r>
              <w:rPr>
                <w:rFonts w:ascii="Calibri" w:hAnsi="Calibri"/>
                <w:sz w:val="22"/>
              </w:rPr>
              <w:t>104.7</w:t>
            </w:r>
          </w:p>
        </w:tc>
      </w:tr>
    </w:tbl>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17 Digital Investor Day, which set ambitious 2030 targets but disappointed the market by offering no near-term guidance relief — the stock sold off ~5.5% on the day. The $2B debt issuance and ongoing Middle East conflict trajectory are the other key items to monitor.</w:t>
      </w:r>
    </w:p>
    <w:p>
      <w:pPr>
        <w:pStyle w:val="ListBullet"/>
        <w:ind w:left="360" w:hanging="360"/>
      </w:pPr>
      <w:r>
        <w:rPr>
          <w:rFonts w:ascii="Calibri" w:hAnsi="Calibri"/>
          <w:b/>
          <w:color w:val="525866"/>
          <w:sz w:val="22"/>
        </w:rPr>
        <w:t>Jun 17, 2026 — Digital Investor Day (Investor Day Transcript):</w:t>
      </w:r>
      <w:r>
        <w:rPr>
          <w:rFonts w:ascii="Calibri" w:hAnsi="Calibri"/>
          <w:color w:val="525866"/>
          <w:sz w:val="22"/>
        </w:rPr>
        <w:t xml:space="preserve"> SLB hosted a dedicated Digital Investor Day, presenting 2030 financial ambitions for its digital business: 10–15% revenue CAGR, ARR doubling to ~$2B, and EBITDA margins expanding to 38–42%. CEO Le Peuch framed digital as a “true differentiator” deserving a higher multiple. The stock sold off ~5.5% on the day, suggesting the market was disappointed by the absence of near-term guidance or a Q2 update. </w:t>
      </w:r>
    </w:p>
    <w:p>
      <w:pPr>
        <w:pStyle w:val="ListBullet"/>
        <w:ind w:left="360" w:hanging="360"/>
      </w:pPr>
      <w:r>
        <w:rPr>
          <w:rFonts w:ascii="Calibri" w:hAnsi="Calibri"/>
          <w:b/>
          <w:i/>
          <w:color w:val="525866"/>
          <w:sz w:val="22"/>
        </w:rPr>
        <w:t>Implication:</w:t>
      </w:r>
      <w:r>
        <w:rPr>
          <w:rFonts w:ascii="Calibri" w:hAnsi="Calibri"/>
          <w:i/>
          <w:color w:val="525866"/>
          <w:sz w:val="22"/>
        </w:rPr>
        <w:t xml:space="preserve"> Watch for any incremental digital ARR or Data Center Solutions run-rate update on the Q2 call — management targeted $1B Data Center run rate by year-end.</w:t>
      </w:r>
    </w:p>
    <w:p>
      <w:pPr>
        <w:pStyle w:val="ListBullet"/>
        <w:ind w:left="360" w:hanging="360"/>
      </w:pPr>
      <w:r>
        <w:rPr>
          <w:rFonts w:ascii="Calibri" w:hAnsi="Calibri"/>
          <w:b/>
          <w:color w:val="525866"/>
          <w:sz w:val="22"/>
        </w:rPr>
        <w:t>May 12, 2026 — $2B Senior Notes Issuance (8-K):</w:t>
      </w:r>
      <w:r>
        <w:rPr>
          <w:rFonts w:ascii="Calibri" w:hAnsi="Calibri"/>
          <w:color w:val="525866"/>
          <w:sz w:val="22"/>
        </w:rPr>
        <w:t xml:space="preserve"> SLB issued $2B in senior notes across three tranches. Signals proactive balance sheet management and confidence in long-term cash generation, but adds to gross debt. </w:t>
      </w:r>
    </w:p>
    <w:p>
      <w:pPr>
        <w:pStyle w:val="ListBullet"/>
        <w:ind w:left="360" w:hanging="360"/>
      </w:pPr>
      <w:r>
        <w:rPr>
          <w:rFonts w:ascii="Calibri" w:hAnsi="Calibri"/>
          <w:b/>
          <w:i/>
          <w:color w:val="525866"/>
          <w:sz w:val="22"/>
        </w:rPr>
        <w:t>Implication:</w:t>
      </w:r>
      <w:r>
        <w:rPr>
          <w:rFonts w:ascii="Calibri" w:hAnsi="Calibri"/>
          <w:i/>
          <w:color w:val="525866"/>
          <w:sz w:val="22"/>
        </w:rPr>
        <w:t xml:space="preserve"> Neutral to slightly negative for near-term FCF; watch for any commentary on use of proceeds and leverage trajectory.</w:t>
      </w:r>
    </w:p>
    <w:p>
      <w:pPr>
        <w:pStyle w:val="ListBullet"/>
        <w:ind w:left="360" w:hanging="360"/>
      </w:pPr>
      <w:r>
        <w:rPr>
          <w:rFonts w:ascii="Calibri" w:hAnsi="Calibri"/>
          <w:b/>
          <w:color w:val="525866"/>
          <w:sz w:val="22"/>
        </w:rPr>
        <w:t>Apr 24, 2026 — Q1 2026 Earnings (Earnings Call / 8-K):</w:t>
      </w:r>
      <w:r>
        <w:rPr>
          <w:rFonts w:ascii="Calibri" w:hAnsi="Calibri"/>
          <w:color w:val="525866"/>
          <w:sz w:val="22"/>
        </w:rPr>
        <w:t xml:space="preserve"> Revenue modestly beat consensus; EPS in-line; EBITDA beat meaningfully. Middle East conflict caused severe disruptions in March (force majeure in Qatar, security shutdowns in Iraq, offshore curtailments). Revenue impact was ~$200M above the pre-announced guidance range. Management declined to provide FY guidance. Digital ARR crossed $1B milestone for the first time. </w:t>
      </w:r>
    </w:p>
    <w:p>
      <w:pPr>
        <w:pStyle w:val="ListBullet"/>
        <w:ind w:left="360" w:hanging="360"/>
      </w:pPr>
      <w:r>
        <w:rPr>
          <w:rFonts w:ascii="Calibri" w:hAnsi="Calibri"/>
          <w:b/>
          <w:i/>
          <w:color w:val="525866"/>
          <w:sz w:val="22"/>
        </w:rPr>
        <w:t>Implication:</w:t>
      </w:r>
      <w:r>
        <w:rPr>
          <w:rFonts w:ascii="Calibri" w:hAnsi="Calibri"/>
          <w:i/>
          <w:color w:val="525866"/>
          <w:sz w:val="22"/>
        </w:rPr>
        <w:t xml:space="preserve"> The Q1 print set the scenario framework for Q2 — any deviation from the “mid-quarter recovery” assumption is the key read-through.</w:t>
      </w:r>
    </w:p>
    <w:p>
      <w:pPr>
        <w:pStyle w:val="ListBullet"/>
        <w:ind w:left="360" w:hanging="360"/>
      </w:pPr>
      <w:r>
        <w:rPr>
          <w:rFonts w:ascii="Calibri" w:hAnsi="Calibri"/>
          <w:b/>
          <w:color w:val="525866"/>
          <w:sz w:val="22"/>
        </w:rPr>
        <w:t>Apr 8, 2026 — Annual Meeting (8-K):</w:t>
      </w:r>
      <w:r>
        <w:rPr>
          <w:rFonts w:ascii="Calibri" w:hAnsi="Calibri"/>
          <w:color w:val="525866"/>
          <w:sz w:val="22"/>
        </w:rPr>
        <w:t xml:space="preserve"> Shareholders approved all proposals, including director elections and executive pay. No material governance changes. </w:t>
      </w:r>
    </w:p>
    <w:p>
      <w:pPr>
        <w:pStyle w:val="ListBullet"/>
        <w:ind w:left="360" w:hanging="360"/>
      </w:pPr>
      <w:r>
        <w:rPr>
          <w:rFonts w:ascii="Calibri" w:hAnsi="Calibri"/>
          <w:b/>
          <w:i/>
          <w:color w:val="525866"/>
          <w:sz w:val="22"/>
        </w:rPr>
        <w:t>Implication:</w:t>
      </w:r>
      <w:r>
        <w:rPr>
          <w:rFonts w:ascii="Calibri" w:hAnsi="Calibri"/>
          <w:i/>
          <w:color w:val="525866"/>
          <w:sz w:val="22"/>
        </w:rPr>
        <w:t xml:space="preserve"> Routine; no impact on Q2 setup.</w:t>
      </w:r>
    </w:p>
    <w:p>
      <w:pPr>
        <w:pStyle w:val="ListBullet"/>
        <w:ind w:left="360" w:hanging="360"/>
      </w:pPr>
      <w:r>
        <w:rPr>
          <w:rFonts w:ascii="Calibri" w:hAnsi="Calibri"/>
          <w:b/>
          <w:color w:val="525866"/>
          <w:sz w:val="22"/>
        </w:rPr>
        <w:t>Ongoing — Middle East Conflict &amp; Recovery:</w:t>
      </w:r>
      <w:r>
        <w:rPr>
          <w:rFonts w:ascii="Calibri" w:hAnsi="Calibri"/>
          <w:color w:val="525866"/>
          <w:sz w:val="22"/>
        </w:rPr>
        <w:t xml:space="preserve"> The conflict that began in March 2026 has been the dominant driver of SLB’s stock and estimate revisions. Peer commentary from HAL (Jul 21) and WFRD (Jul 22) confirms activity suspensions and logistical disruptions carried through much of Q2, with freight costs peaking in May before moderating. Saudi Arabia and UAE showed signs of recovery; Bahrain, Qatar, Iraq, and Kuwait saw the most disruption. </w:t>
      </w:r>
    </w:p>
    <w:p>
      <w:pPr>
        <w:pStyle w:val="ListBullet"/>
        <w:ind w:left="360" w:hanging="360"/>
      </w:pPr>
      <w:r>
        <w:rPr>
          <w:rFonts w:ascii="Calibri" w:hAnsi="Calibri"/>
          <w:b/>
          <w:i/>
          <w:color w:val="525866"/>
          <w:sz w:val="22"/>
        </w:rPr>
        <w:t>Implication:</w:t>
      </w:r>
      <w:r>
        <w:rPr>
          <w:rFonts w:ascii="Calibri" w:hAnsi="Calibri"/>
          <w:i/>
          <w:color w:val="525866"/>
          <w:sz w:val="22"/>
        </w:rPr>
        <w:t xml:space="preserve"> The pace and breadth of recovery commentary on the Q2 call will be the single most important driver of the stock reaction.</w:t>
      </w:r>
    </w:p>
    <w:p>
      <w:pPr>
        <w:pStyle w:val="ListBullet"/>
        <w:ind w:left="360" w:hanging="360"/>
      </w:pPr>
      <w:r>
        <w:rPr>
          <w:rFonts w:ascii="Calibri" w:hAnsi="Calibri"/>
          <w:b/>
          <w:color w:val="525866"/>
          <w:sz w:val="22"/>
        </w:rPr>
        <w:t>Ongoing — S&amp;P Global Energy Software Acquisition (Pending):</w:t>
      </w:r>
      <w:r>
        <w:rPr>
          <w:rFonts w:ascii="Calibri" w:hAnsi="Calibri"/>
          <w:color w:val="525866"/>
          <w:sz w:val="22"/>
        </w:rPr>
        <w:t xml:space="preserve"> SLB announced the pending acquisition of S&amp;P Global’s geoscience and petroleum engineering software, expanding unconventional workflow capabilities and enabling AI model development via a strategic data partnership. </w:t>
      </w:r>
    </w:p>
    <w:p>
      <w:pPr>
        <w:pStyle w:val="ListBullet"/>
        <w:ind w:left="360" w:hanging="360"/>
      </w:pPr>
      <w:r>
        <w:rPr>
          <w:rFonts w:ascii="Calibri" w:hAnsi="Calibri"/>
          <w:b/>
          <w:i/>
          <w:color w:val="525866"/>
          <w:sz w:val="22"/>
        </w:rPr>
        <w:t>Implication:</w:t>
      </w:r>
      <w:r>
        <w:rPr>
          <w:rFonts w:ascii="Calibri" w:hAnsi="Calibri"/>
          <w:i/>
          <w:color w:val="525866"/>
          <w:sz w:val="22"/>
        </w:rPr>
        <w:t xml:space="preserve"> Accretive to digital ARR and long-term margin profile; watch for any closing update or integration commentary.</w:t>
      </w:r>
    </w:p>
    <w:p>
      <w:r>
        <w:br w:type="page"/>
      </w:r>
    </w:p>
    <w:p>
      <w:pPr>
        <w:pStyle w:val="Heading2"/>
      </w:pPr>
      <w:r>
        <w:rPr>
          <w:rFonts w:ascii="Calibri" w:hAnsi="Calibri"/>
          <w:b/>
          <w:color w:val="3B4259"/>
          <w:sz w:val="28"/>
        </w:rPr>
        <w:t>7. Peer Read-Throughs (Last 60 Days — Q2 2026 Relevant Only)</w:t>
      </w:r>
    </w:p>
    <w:p>
      <w:r>
        <w:rPr>
          <w:rFonts w:ascii="Calibri" w:hAnsi="Calibri"/>
          <w:b/>
          <w:color w:val="525866"/>
          <w:sz w:val="22"/>
        </w:rPr>
        <w:t xml:space="preserve">Key Takeaway: </w:t>
      </w:r>
      <w:r>
        <w:rPr>
          <w:rFonts w:ascii="Calibri" w:hAnsi="Calibri"/>
          <w:color w:val="525866"/>
          <w:sz w:val="22"/>
        </w:rPr>
        <w:t>Peer commentary from the last 60 days is broadly constructive for SLB’s Q2 print — HAL’s Q2 results (reported July 21) are the most direct read-through, confirming international recovery and North America momentum, while WFRD’s Q2 results (July 22) validate the Middle East disruption narrative and confirm logistics costs peaked in May. FTI and BKR conference commentary from May–June reinforces the structural offshore upcycle thesis.</w:t>
      </w:r>
    </w:p>
    <w:p>
      <w:r>
        <w:rPr>
          <w:rFonts w:ascii="Calibri" w:hAnsi="Calibri"/>
          <w:b/>
          <w:color w:val="525866"/>
          <w:sz w:val="22"/>
        </w:rPr>
        <w:t xml:space="preserve">Methodology: </w:t>
      </w:r>
      <w:r>
        <w:rPr>
          <w:rFonts w:ascii="Calibri" w:hAnsi="Calibri"/>
          <w:i/>
          <w:color w:val="525866"/>
          <w:sz w:val="22"/>
        </w:rPr>
        <w:t xml:space="preserve">Only commentary from the last 60 days (May 23 – July 23, 2026) that speaks to Q2 2026 activity, trends, or outlook is included. Retrospective commentary about prior-quarter results is excluded. Each item is tagged as </w:t>
      </w:r>
      <w:r>
        <w:rPr>
          <w:rFonts w:ascii="Calibri" w:hAnsi="Calibri"/>
          <w:b/>
          <w:i/>
          <w:color w:val="525866"/>
          <w:sz w:val="22"/>
        </w:rPr>
        <w:t>Direct</w:t>
      </w:r>
      <w:r>
        <w:rPr>
          <w:rFonts w:ascii="Calibri" w:hAnsi="Calibri"/>
          <w:i/>
          <w:color w:val="525866"/>
          <w:sz w:val="22"/>
        </w:rPr>
        <w:t xml:space="preserve"> (highly comparable business/geography), </w:t>
      </w:r>
      <w:r>
        <w:rPr>
          <w:rFonts w:ascii="Calibri" w:hAnsi="Calibri"/>
          <w:b/>
          <w:i/>
          <w:color w:val="525866"/>
          <w:sz w:val="22"/>
        </w:rPr>
        <w:t>Indirect</w:t>
      </w:r>
      <w:r>
        <w:rPr>
          <w:rFonts w:ascii="Calibri" w:hAnsi="Calibri"/>
          <w:i/>
          <w:color w:val="525866"/>
          <w:sz w:val="22"/>
        </w:rPr>
        <w:t xml:space="preserve"> (same sector, different mix), or </w:t>
      </w:r>
      <w:r>
        <w:rPr>
          <w:rFonts w:ascii="Calibri" w:hAnsi="Calibri"/>
          <w:b/>
          <w:i/>
          <w:color w:val="525866"/>
          <w:sz w:val="22"/>
        </w:rPr>
        <w:t>Not Actionable</w:t>
      </w:r>
      <w:r>
        <w:rPr>
          <w:rFonts w:ascii="Calibri" w:hAnsi="Calibri"/>
          <w:i/>
          <w:color w:val="525866"/>
          <w:sz w:val="22"/>
        </w:rPr>
        <w:t xml:space="preserve"> (company-specific, not transferable).</w:t>
      </w:r>
    </w:p>
    <w:p>
      <w:pPr>
        <w:pStyle w:val="Heading3"/>
      </w:pPr>
      <w:r>
        <w:rPr>
          <w:rFonts w:ascii="Calibri" w:hAnsi="Calibri"/>
          <w:b/>
          <w:color w:val="3B4259"/>
          <w:sz w:val="24"/>
        </w:rPr>
        <w:t>7A. Halliburton (HAL) — Q2 2026 Earnings Call (July 21, 2026)</w:t>
      </w:r>
    </w:p>
    <w:p>
      <w:r>
        <w:rPr>
          <w:rFonts w:ascii="Calibri" w:hAnsi="Calibri"/>
          <w:b/>
          <w:color w:val="525866"/>
          <w:sz w:val="22"/>
        </w:rPr>
        <w:t xml:space="preserve">Read-Through Type: </w:t>
      </w:r>
      <w:r>
        <w:rPr>
          <w:rFonts w:ascii="Calibri" w:hAnsi="Calibri"/>
          <w:b/>
          <w:color w:val="30A46C"/>
          <w:sz w:val="22"/>
        </w:rPr>
        <w:t>DIRECT</w:t>
      </w:r>
      <w:r>
        <w:rPr>
          <w:rFonts w:ascii="Calibri" w:hAnsi="Calibri"/>
          <w:color w:val="525866"/>
          <w:sz w:val="22"/>
        </w:rPr>
        <w:t xml:space="preserve"> — HAL is SLB’s closest global peer with highly comparable international and North America oilfield services exposure.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HAL Commentary (Q2 2026)</w:t>
            </w:r>
          </w:p>
        </w:tc>
        <w:tc>
          <w:tcPr>
            <w:tcW w:type="dxa" w:w="2160"/>
            <w:shd w:val="clear" w:color="auto" w:fill="3B4259"/>
          </w:tcPr>
          <w:p>
            <w:r>
              <w:rPr>
                <w:rFonts w:ascii="Calibri" w:hAnsi="Calibri"/>
                <w:b/>
                <w:color w:val="FFFFFF"/>
                <w:sz w:val="22"/>
              </w:rPr>
              <w:t>SLB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International Revenue</w:t>
            </w:r>
          </w:p>
        </w:tc>
        <w:tc>
          <w:tcPr>
            <w:tcW w:type="dxa" w:w="2160"/>
          </w:tcPr>
          <w:p>
            <w:r>
              <w:rPr>
                <w:rFonts w:ascii="Calibri" w:hAnsi="Calibri"/>
                <w:sz w:val="22"/>
              </w:rPr>
              <w:t>International revenue +6% YoY and +5% sequentially to $3.4B. Expects international ex-ME to “grow low double digits this year.”</w:t>
            </w:r>
          </w:p>
        </w:tc>
        <w:tc>
          <w:tcPr>
            <w:tcW w:type="dxa" w:w="2160"/>
          </w:tcPr>
          <w:p>
            <w:r>
              <w:rPr>
                <w:rFonts w:ascii="Calibri" w:hAnsi="Calibri"/>
                <w:sz w:val="22"/>
              </w:rPr>
              <w:t>Validates SLB’s scenario that non-ME international markets offset ME drag. Positive for SLB’s international segment.</w:t>
            </w:r>
          </w:p>
        </w:tc>
        <w:tc>
          <w:tcPr>
            <w:tcW w:type="dxa" w:w="2160"/>
          </w:tcPr>
          <w:p>
            <w:r>
              <w:rPr>
                <w:rFonts w:ascii="Calibri" w:hAnsi="Calibri"/>
                <w:b/>
                <w:color w:val="30A46C"/>
                <w:sz w:val="22"/>
              </w:rPr>
              <w:t>↑ Positive</w:t>
            </w:r>
          </w:p>
        </w:tc>
      </w:tr>
      <w:tr>
        <w:tc>
          <w:tcPr>
            <w:tcW w:type="dxa" w:w="2160"/>
          </w:tcPr>
          <w:p>
            <w:r>
              <w:rPr>
                <w:rFonts w:ascii="Calibri" w:hAnsi="Calibri"/>
                <w:sz w:val="22"/>
              </w:rPr>
              <w:t>Middle East Recovery</w:t>
            </w:r>
          </w:p>
        </w:tc>
        <w:tc>
          <w:tcPr>
            <w:tcW w:type="dxa" w:w="2160"/>
          </w:tcPr>
          <w:p>
            <w:r>
              <w:rPr>
                <w:rFonts w:ascii="Calibri" w:hAnsi="Calibri"/>
                <w:sz w:val="22"/>
              </w:rPr>
              <w:t>“Activity is recovering from the conflict lows, but the pace of recovery is still dependent on the day to day events.” Land well construction largely steady; offshore “increased in the quarter, though not yet back to pre-conflict levels.”</w:t>
            </w:r>
          </w:p>
        </w:tc>
        <w:tc>
          <w:tcPr>
            <w:tcW w:type="dxa" w:w="2160"/>
          </w:tcPr>
          <w:p>
            <w:r>
              <w:rPr>
                <w:rFonts w:ascii="Calibri" w:hAnsi="Calibri"/>
                <w:sz w:val="22"/>
              </w:rPr>
              <w:t>Confirms ME recovery is underway but incomplete — consistent with SLB’s mid-quarter recovery scenario. Offshore still lagging.</w:t>
            </w:r>
          </w:p>
        </w:tc>
        <w:tc>
          <w:tcPr>
            <w:tcW w:type="dxa" w:w="2160"/>
          </w:tcPr>
          <w:p>
            <w:r>
              <w:rPr>
                <w:rFonts w:ascii="Calibri" w:hAnsi="Calibri"/>
                <w:b/>
                <w:color w:val="002FA7"/>
                <w:sz w:val="22"/>
              </w:rPr>
              <w:t>↔ Mixed</w:t>
            </w:r>
          </w:p>
        </w:tc>
      </w:tr>
      <w:tr>
        <w:tc>
          <w:tcPr>
            <w:tcW w:type="dxa" w:w="2160"/>
          </w:tcPr>
          <w:p>
            <w:r>
              <w:rPr>
                <w:rFonts w:ascii="Calibri" w:hAnsi="Calibri"/>
                <w:sz w:val="22"/>
              </w:rPr>
              <w:t>North America</w:t>
            </w:r>
          </w:p>
        </w:tc>
        <w:tc>
          <w:tcPr>
            <w:tcW w:type="dxa" w:w="2160"/>
          </w:tcPr>
          <w:p>
            <w:r>
              <w:rPr>
                <w:rFonts w:ascii="Calibri" w:hAnsi="Calibri"/>
                <w:sz w:val="22"/>
              </w:rPr>
              <w:t>“White space is filled. We’ve seen rig adds, we’re seeing white space filled. We are seeing price increases. It’s a steady march.” 30+ rigs added. Expects trajectory to continue into Q3.</w:t>
            </w:r>
          </w:p>
        </w:tc>
        <w:tc>
          <w:tcPr>
            <w:tcW w:type="dxa" w:w="2160"/>
          </w:tcPr>
          <w:p>
            <w:r>
              <w:rPr>
                <w:rFonts w:ascii="Calibri" w:hAnsi="Calibri"/>
                <w:sz w:val="22"/>
              </w:rPr>
              <w:t>Strong positive for SLB’s North America segment. Pricing gains and rig adds support SLB’s flat-to-up NA guidance.</w:t>
            </w:r>
          </w:p>
        </w:tc>
        <w:tc>
          <w:tcPr>
            <w:tcW w:type="dxa" w:w="2160"/>
          </w:tcPr>
          <w:p>
            <w:r>
              <w:rPr>
                <w:rFonts w:ascii="Calibri" w:hAnsi="Calibri"/>
                <w:b/>
                <w:color w:val="30A46C"/>
                <w:sz w:val="22"/>
              </w:rPr>
              <w:t>↑ Positive</w:t>
            </w:r>
          </w:p>
        </w:tc>
      </w:tr>
      <w:tr>
        <w:tc>
          <w:tcPr>
            <w:tcW w:type="dxa" w:w="2160"/>
          </w:tcPr>
          <w:p>
            <w:r>
              <w:rPr>
                <w:rFonts w:ascii="Calibri" w:hAnsi="Calibri"/>
                <w:sz w:val="22"/>
              </w:rPr>
              <w:t>Europe / Africa</w:t>
            </w:r>
          </w:p>
        </w:tc>
        <w:tc>
          <w:tcPr>
            <w:tcW w:type="dxa" w:w="2160"/>
          </w:tcPr>
          <w:p>
            <w:r>
              <w:rPr>
                <w:rFonts w:ascii="Calibri" w:hAnsi="Calibri"/>
                <w:sz w:val="22"/>
              </w:rPr>
              <w:t>Revenue +19% sequentially, driven by North Sea, Namibia, Egypt, East Med, Angola. “Really busy markets.”</w:t>
            </w:r>
          </w:p>
        </w:tc>
        <w:tc>
          <w:tcPr>
            <w:tcW w:type="dxa" w:w="2160"/>
          </w:tcPr>
          <w:p>
            <w:r>
              <w:rPr>
                <w:rFonts w:ascii="Calibri" w:hAnsi="Calibri"/>
                <w:sz w:val="22"/>
              </w:rPr>
              <w:t>Strong positive for SLB’s Europe/Africa exposure. Namibia and East Med are incremental growth areas for SLB.</w:t>
            </w:r>
          </w:p>
        </w:tc>
        <w:tc>
          <w:tcPr>
            <w:tcW w:type="dxa" w:w="2160"/>
          </w:tcPr>
          <w:p>
            <w:r>
              <w:rPr>
                <w:rFonts w:ascii="Calibri" w:hAnsi="Calibri"/>
                <w:b/>
                <w:color w:val="30A46C"/>
                <w:sz w:val="22"/>
              </w:rPr>
              <w:t>↑ Positive</w:t>
            </w:r>
          </w:p>
        </w:tc>
      </w:tr>
      <w:tr>
        <w:tc>
          <w:tcPr>
            <w:tcW w:type="dxa" w:w="2160"/>
          </w:tcPr>
          <w:p>
            <w:r>
              <w:rPr>
                <w:rFonts w:ascii="Calibri" w:hAnsi="Calibri"/>
                <w:sz w:val="22"/>
              </w:rPr>
              <w:t>Latin America</w:t>
            </w:r>
          </w:p>
        </w:tc>
        <w:tc>
          <w:tcPr>
            <w:tcW w:type="dxa" w:w="2160"/>
          </w:tcPr>
          <w:p>
            <w:r>
              <w:rPr>
                <w:rFonts w:ascii="Calibri" w:hAnsi="Calibri"/>
                <w:sz w:val="22"/>
              </w:rPr>
              <w:t>Revenue +3% sequentially, driven by Argentina and Mexico stimulation activity.</w:t>
            </w:r>
          </w:p>
        </w:tc>
        <w:tc>
          <w:tcPr>
            <w:tcW w:type="dxa" w:w="2160"/>
          </w:tcPr>
          <w:p>
            <w:r>
              <w:rPr>
                <w:rFonts w:ascii="Calibri" w:hAnsi="Calibri"/>
                <w:sz w:val="22"/>
              </w:rPr>
              <w:t>Positive for SLB’s Latin America segment; consistent with SLB’s own constructive LatAm narrative.</w:t>
            </w:r>
          </w:p>
        </w:tc>
        <w:tc>
          <w:tcPr>
            <w:tcW w:type="dxa" w:w="2160"/>
          </w:tcPr>
          <w:p>
            <w:r>
              <w:rPr>
                <w:rFonts w:ascii="Calibri" w:hAnsi="Calibri"/>
                <w:b/>
                <w:color w:val="30A46C"/>
                <w:sz w:val="22"/>
              </w:rPr>
              <w:t>↑ Positive</w:t>
            </w:r>
          </w:p>
        </w:tc>
      </w:tr>
      <w:tr>
        <w:tc>
          <w:tcPr>
            <w:tcW w:type="dxa" w:w="2160"/>
          </w:tcPr>
          <w:p>
            <w:r>
              <w:rPr>
                <w:rFonts w:ascii="Calibri" w:hAnsi="Calibri"/>
                <w:sz w:val="22"/>
              </w:rPr>
              <w:t>Pricing / Margins</w:t>
            </w:r>
          </w:p>
        </w:tc>
        <w:tc>
          <w:tcPr>
            <w:tcW w:type="dxa" w:w="2160"/>
          </w:tcPr>
          <w:p>
            <w:r>
              <w:rPr>
                <w:rFonts w:ascii="Calibri" w:hAnsi="Calibri"/>
                <w:sz w:val="22"/>
              </w:rPr>
              <w:t>Modest pricing gains in NA; international market tight (“nobody’s really overbuilt”). Expects C&amp;P margin +125–175bps and D&amp;E margin +25–75bps in Q3.</w:t>
            </w:r>
          </w:p>
        </w:tc>
        <w:tc>
          <w:tcPr>
            <w:tcW w:type="dxa" w:w="2160"/>
          </w:tcPr>
          <w:p>
            <w:r>
              <w:rPr>
                <w:rFonts w:ascii="Calibri" w:hAnsi="Calibri"/>
                <w:sz w:val="22"/>
              </w:rPr>
              <w:t>Supports SLB’s ability to maintain or expand margins as ME recovers. Tight international capacity is a pricing tailwind.</w:t>
            </w:r>
          </w:p>
        </w:tc>
        <w:tc>
          <w:tcPr>
            <w:tcW w:type="dxa" w:w="2160"/>
          </w:tcPr>
          <w:p>
            <w:r>
              <w:rPr>
                <w:rFonts w:ascii="Calibri" w:hAnsi="Calibri"/>
                <w:b/>
                <w:color w:val="30A46C"/>
                <w:sz w:val="22"/>
              </w:rPr>
              <w:t>↑ Positive</w:t>
            </w:r>
          </w:p>
        </w:tc>
      </w:tr>
      <w:tr>
        <w:tc>
          <w:tcPr>
            <w:tcW w:type="dxa" w:w="2160"/>
          </w:tcPr>
          <w:p>
            <w:r>
              <w:rPr>
                <w:rFonts w:ascii="Calibri" w:hAnsi="Calibri"/>
                <w:sz w:val="22"/>
              </w:rPr>
              <w:t>Offshore / Deepwater</w:t>
            </w:r>
          </w:p>
        </w:tc>
        <w:tc>
          <w:tcPr>
            <w:tcW w:type="dxa" w:w="2160"/>
          </w:tcPr>
          <w:p>
            <w:r>
              <w:rPr>
                <w:rFonts w:ascii="Calibri" w:hAnsi="Calibri"/>
                <w:sz w:val="22"/>
              </w:rPr>
              <w:t>“Big markets around the world — deepwater Gulf of America, Brazil, West Africa, Norway, East Med — are really busy.” Rig tightening observed. FPSO inflection seen as “more of a 2027 event.”</w:t>
            </w:r>
          </w:p>
        </w:tc>
        <w:tc>
          <w:tcPr>
            <w:tcW w:type="dxa" w:w="2160"/>
          </w:tcPr>
          <w:p>
            <w:r>
              <w:rPr>
                <w:rFonts w:ascii="Calibri" w:hAnsi="Calibri"/>
                <w:sz w:val="22"/>
              </w:rPr>
              <w:t>Positive for SLB’s offshore and OneSubsea businesses. FPSO timing is a 2027 catalyst, not Q2.</w:t>
            </w:r>
          </w:p>
        </w:tc>
        <w:tc>
          <w:tcPr>
            <w:tcW w:type="dxa" w:w="2160"/>
          </w:tcPr>
          <w:p>
            <w:r>
              <w:rPr>
                <w:rFonts w:ascii="Calibri" w:hAnsi="Calibri"/>
                <w:b/>
                <w:color w:val="30A46C"/>
                <w:sz w:val="22"/>
              </w:rPr>
              <w:t>↑ Positive</w:t>
            </w:r>
          </w:p>
        </w:tc>
      </w:tr>
    </w:tbl>
    <w:p>
      <w:pPr>
        <w:pStyle w:val="Heading3"/>
      </w:pPr>
      <w:r>
        <w:rPr>
          <w:rFonts w:ascii="Calibri" w:hAnsi="Calibri"/>
          <w:b/>
          <w:color w:val="3B4259"/>
          <w:sz w:val="24"/>
        </w:rPr>
        <w:t>7B. Weatherford International (WFRD) — Q2 2026 Earnings Call (July 22, 2026)</w:t>
      </w:r>
    </w:p>
    <w:p>
      <w:r>
        <w:rPr>
          <w:rFonts w:ascii="Calibri" w:hAnsi="Calibri"/>
          <w:b/>
          <w:color w:val="525866"/>
          <w:sz w:val="22"/>
        </w:rPr>
        <w:t xml:space="preserve">Read-Through Type: </w:t>
      </w:r>
      <w:r>
        <w:rPr>
          <w:rFonts w:ascii="Calibri" w:hAnsi="Calibri"/>
          <w:b/>
          <w:color w:val="002FA7"/>
          <w:sz w:val="22"/>
        </w:rPr>
        <w:t>INDIRECT</w:t>
      </w:r>
      <w:r>
        <w:rPr>
          <w:rFonts w:ascii="Calibri" w:hAnsi="Calibri"/>
          <w:color w:val="525866"/>
          <w:sz w:val="22"/>
        </w:rPr>
        <w:t xml:space="preserve"> — WFRD is a smaller, more production-focused OFS peer with significant ME exposure; useful for regional color but not directly comparable on scale or mix.</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WFRD Commentary (Q2 2026)</w:t>
            </w:r>
          </w:p>
        </w:tc>
        <w:tc>
          <w:tcPr>
            <w:tcW w:type="dxa" w:w="2160"/>
            <w:shd w:val="clear" w:color="auto" w:fill="3B4259"/>
          </w:tcPr>
          <w:p>
            <w:r>
              <w:rPr>
                <w:rFonts w:ascii="Calibri" w:hAnsi="Calibri"/>
                <w:b/>
                <w:color w:val="FFFFFF"/>
                <w:sz w:val="22"/>
              </w:rPr>
              <w:t>SLB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Middle East — Disruption Detail</w:t>
            </w:r>
          </w:p>
        </w:tc>
        <w:tc>
          <w:tcPr>
            <w:tcW w:type="dxa" w:w="2160"/>
          </w:tcPr>
          <w:p>
            <w:r>
              <w:rPr>
                <w:rFonts w:ascii="Calibri" w:hAnsi="Calibri"/>
                <w:sz w:val="22"/>
              </w:rPr>
              <w:t>“Activity suspensions, project deferrals and logistical disruptions that began in March carried through much of the quarter, and freight and logistics costs remain elevated, peaking in May before beginning to moderate.” Most disruption in Bahrain, Qatar, Iraq, Kuwait. Saudi and UAE showed recovery.</w:t>
            </w:r>
          </w:p>
        </w:tc>
        <w:tc>
          <w:tcPr>
            <w:tcW w:type="dxa" w:w="2160"/>
          </w:tcPr>
          <w:p>
            <w:r>
              <w:rPr>
                <w:rFonts w:ascii="Calibri" w:hAnsi="Calibri"/>
                <w:sz w:val="22"/>
              </w:rPr>
              <w:t>Validates SLB’s Q1 scenario. Freight cost peak in May is a positive signal — Q2 exit rate should be better than Q2 average. SLB’s ME exposure (Qatar force majeure, Iraq shutdowns) maps directly.</w:t>
            </w:r>
          </w:p>
        </w:tc>
        <w:tc>
          <w:tcPr>
            <w:tcW w:type="dxa" w:w="2160"/>
          </w:tcPr>
          <w:p>
            <w:r>
              <w:rPr>
                <w:rFonts w:ascii="Calibri" w:hAnsi="Calibri"/>
                <w:b/>
                <w:color w:val="002FA7"/>
                <w:sz w:val="22"/>
              </w:rPr>
              <w:t>↔ Mixed / Improving</w:t>
            </w:r>
          </w:p>
        </w:tc>
      </w:tr>
      <w:tr>
        <w:tc>
          <w:tcPr>
            <w:tcW w:type="dxa" w:w="2160"/>
          </w:tcPr>
          <w:p>
            <w:r>
              <w:rPr>
                <w:rFonts w:ascii="Calibri" w:hAnsi="Calibri"/>
                <w:sz w:val="22"/>
              </w:rPr>
              <w:t>Middle East — Recovery Signs</w:t>
            </w:r>
          </w:p>
        </w:tc>
        <w:tc>
          <w:tcPr>
            <w:tcW w:type="dxa" w:w="2160"/>
          </w:tcPr>
          <w:p>
            <w:r>
              <w:rPr>
                <w:rFonts w:ascii="Calibri" w:hAnsi="Calibri"/>
                <w:sz w:val="22"/>
              </w:rPr>
              <w:t>“The quarter ended with signs of recovery.” Saudi resuming offshore operations. UAE “increased in a few areas.” Oman “fairly consistent.” Recovery expected to continue but “will take time to fully normalize.”</w:t>
            </w:r>
          </w:p>
        </w:tc>
        <w:tc>
          <w:tcPr>
            <w:tcW w:type="dxa" w:w="2160"/>
          </w:tcPr>
          <w:p>
            <w:r>
              <w:rPr>
                <w:rFonts w:ascii="Calibri" w:hAnsi="Calibri"/>
                <w:sz w:val="22"/>
              </w:rPr>
              <w:t>Confirms gradual, country-by-country recovery — exactly the scenario SLB guided to. Not a V-shaped recovery; pace of normalization is the key variable.</w:t>
            </w:r>
          </w:p>
        </w:tc>
        <w:tc>
          <w:tcPr>
            <w:tcW w:type="dxa" w:w="2160"/>
          </w:tcPr>
          <w:p>
            <w:r>
              <w:rPr>
                <w:rFonts w:ascii="Calibri" w:hAnsi="Calibri"/>
                <w:b/>
                <w:color w:val="002FA7"/>
                <w:sz w:val="22"/>
              </w:rPr>
              <w:t>↔ Mixed</w:t>
            </w:r>
          </w:p>
        </w:tc>
      </w:tr>
      <w:tr>
        <w:tc>
          <w:tcPr>
            <w:tcW w:type="dxa" w:w="2160"/>
          </w:tcPr>
          <w:p>
            <w:r>
              <w:rPr>
                <w:rFonts w:ascii="Calibri" w:hAnsi="Calibri"/>
                <w:sz w:val="22"/>
              </w:rPr>
              <w:t>Offshore Deepwater Awards</w:t>
            </w:r>
          </w:p>
        </w:tc>
        <w:tc>
          <w:tcPr>
            <w:tcW w:type="dxa" w:w="2160"/>
          </w:tcPr>
          <w:p>
            <w:r>
              <w:rPr>
                <w:rFonts w:ascii="Calibri" w:hAnsi="Calibri"/>
                <w:sz w:val="22"/>
              </w:rPr>
              <w:t>“Encouraged by the number and quality of Deep Water awards this quarter in Brazil, West Africa, Nigeria, and Australia.” “The offshore cycle is strengthening.”</w:t>
            </w:r>
          </w:p>
        </w:tc>
        <w:tc>
          <w:tcPr>
            <w:tcW w:type="dxa" w:w="2160"/>
          </w:tcPr>
          <w:p>
            <w:r>
              <w:rPr>
                <w:rFonts w:ascii="Calibri" w:hAnsi="Calibri"/>
                <w:sz w:val="22"/>
              </w:rPr>
              <w:t>Positive for SLB’s offshore and OneSubsea segments. Deepwater award momentum is a leading indicator for SLB’s backlog.</w:t>
            </w:r>
          </w:p>
        </w:tc>
        <w:tc>
          <w:tcPr>
            <w:tcW w:type="dxa" w:w="2160"/>
          </w:tcPr>
          <w:p>
            <w:r>
              <w:rPr>
                <w:rFonts w:ascii="Calibri" w:hAnsi="Calibri"/>
                <w:b/>
                <w:color w:val="30A46C"/>
                <w:sz w:val="22"/>
              </w:rPr>
              <w:t>↑ Positive</w:t>
            </w:r>
          </w:p>
        </w:tc>
      </w:tr>
      <w:tr>
        <w:tc>
          <w:tcPr>
            <w:tcW w:type="dxa" w:w="2160"/>
          </w:tcPr>
          <w:p>
            <w:r>
              <w:rPr>
                <w:rFonts w:ascii="Calibri" w:hAnsi="Calibri"/>
                <w:sz w:val="22"/>
              </w:rPr>
              <w:t>North America</w:t>
            </w:r>
          </w:p>
        </w:tc>
        <w:tc>
          <w:tcPr>
            <w:tcW w:type="dxa" w:w="2160"/>
          </w:tcPr>
          <w:p>
            <w:r>
              <w:rPr>
                <w:rFonts w:ascii="Calibri" w:hAnsi="Calibri"/>
                <w:sz w:val="22"/>
              </w:rPr>
              <w:t>US land had a “positive sequential quarter.” Rig count “going up albeit slightly.” Canada spring break-up seasonal drag.</w:t>
            </w:r>
          </w:p>
        </w:tc>
        <w:tc>
          <w:tcPr>
            <w:tcW w:type="dxa" w:w="2160"/>
          </w:tcPr>
          <w:p>
            <w:r>
              <w:rPr>
                <w:rFonts w:ascii="Calibri" w:hAnsi="Calibri"/>
                <w:sz w:val="22"/>
              </w:rPr>
              <w:t>Consistent with SLB’s flat NA guidance. Modest improvement in US land is a slight positive.</w:t>
            </w:r>
          </w:p>
        </w:tc>
        <w:tc>
          <w:tcPr>
            <w:tcW w:type="dxa" w:w="2160"/>
          </w:tcPr>
          <w:p>
            <w:r>
              <w:rPr>
                <w:rFonts w:ascii="Calibri" w:hAnsi="Calibri"/>
                <w:b/>
                <w:color w:val="30A46C"/>
                <w:sz w:val="22"/>
              </w:rPr>
              <w:t>↑ Slight Positive</w:t>
            </w:r>
          </w:p>
        </w:tc>
      </w:tr>
      <w:tr>
        <w:tc>
          <w:tcPr>
            <w:tcW w:type="dxa" w:w="2160"/>
          </w:tcPr>
          <w:p>
            <w:r>
              <w:rPr>
                <w:rFonts w:ascii="Calibri" w:hAnsi="Calibri"/>
                <w:sz w:val="22"/>
              </w:rPr>
              <w:t>Pricing Headwinds</w:t>
            </w:r>
          </w:p>
        </w:tc>
        <w:tc>
          <w:tcPr>
            <w:tcW w:type="dxa" w:w="2160"/>
          </w:tcPr>
          <w:p>
            <w:r>
              <w:rPr>
                <w:rFonts w:ascii="Calibri" w:hAnsi="Calibri"/>
                <w:sz w:val="22"/>
              </w:rPr>
              <w:t>“Pockets of pricing headwinds leading to volume declines” in Indonesia. WFRD walked away from Saudi SDK contract due to pricing levels.</w:t>
            </w:r>
          </w:p>
        </w:tc>
        <w:tc>
          <w:tcPr>
            <w:tcW w:type="dxa" w:w="2160"/>
          </w:tcPr>
          <w:p>
            <w:r>
              <w:rPr>
                <w:rFonts w:ascii="Calibri" w:hAnsi="Calibri"/>
                <w:sz w:val="22"/>
              </w:rPr>
              <w:t>Suggests pricing pressure exists in pockets, particularly in ME and Asia. SLB’s scale and technology differentiation provide more insulation, but worth monitoring.</w:t>
            </w:r>
          </w:p>
        </w:tc>
        <w:tc>
          <w:tcPr>
            <w:tcW w:type="dxa" w:w="2160"/>
          </w:tcPr>
          <w:p>
            <w:r>
              <w:rPr>
                <w:rFonts w:ascii="Calibri" w:hAnsi="Calibri"/>
                <w:b/>
                <w:color w:val="E5484D"/>
                <w:sz w:val="22"/>
              </w:rPr>
              <w:t>↓ Slight Negative</w:t>
            </w:r>
          </w:p>
        </w:tc>
      </w:tr>
      <w:tr>
        <w:tc>
          <w:tcPr>
            <w:tcW w:type="dxa" w:w="2160"/>
          </w:tcPr>
          <w:p>
            <w:r>
              <w:rPr>
                <w:rFonts w:ascii="Calibri" w:hAnsi="Calibri"/>
                <w:sz w:val="22"/>
              </w:rPr>
              <w:t>Venezuela</w:t>
            </w:r>
          </w:p>
        </w:tc>
        <w:tc>
          <w:tcPr>
            <w:tcW w:type="dxa" w:w="2160"/>
          </w:tcPr>
          <w:p>
            <w:r>
              <w:rPr>
                <w:rFonts w:ascii="Calibri" w:hAnsi="Calibri"/>
                <w:sz w:val="22"/>
              </w:rPr>
              <w:t>“Pleasantly surprised with the progress in Venezuela” — expects tangible contribution to revenue and margins in 2027.</w:t>
            </w:r>
          </w:p>
        </w:tc>
        <w:tc>
          <w:tcPr>
            <w:tcW w:type="dxa" w:w="2160"/>
          </w:tcPr>
          <w:p>
            <w:r>
              <w:rPr>
                <w:rFonts w:ascii="Calibri" w:hAnsi="Calibri"/>
                <w:sz w:val="22"/>
              </w:rPr>
              <w:t>Positive read-through for SLB’s Venezuela opportunity, which management has described as an “exciting growth opportunity.”</w:t>
            </w:r>
          </w:p>
        </w:tc>
        <w:tc>
          <w:tcPr>
            <w:tcW w:type="dxa" w:w="2160"/>
          </w:tcPr>
          <w:p>
            <w:r>
              <w:rPr>
                <w:rFonts w:ascii="Calibri" w:hAnsi="Calibri"/>
                <w:b/>
                <w:color w:val="30A46C"/>
                <w:sz w:val="22"/>
              </w:rPr>
              <w:t>↑ Positive</w:t>
            </w:r>
          </w:p>
        </w:tc>
      </w:tr>
      <w:tr>
        <w:tc>
          <w:tcPr>
            <w:tcW w:type="dxa" w:w="2160"/>
          </w:tcPr>
          <w:p>
            <w:r>
              <w:rPr>
                <w:rFonts w:ascii="Calibri" w:hAnsi="Calibri"/>
                <w:sz w:val="22"/>
              </w:rPr>
              <w:t>Customer Spending Drivers</w:t>
            </w:r>
          </w:p>
        </w:tc>
        <w:tc>
          <w:tcPr>
            <w:tcW w:type="dxa" w:w="2160"/>
          </w:tcPr>
          <w:p>
            <w:r>
              <w:rPr>
                <w:rFonts w:ascii="Calibri" w:hAnsi="Calibri"/>
                <w:sz w:val="22"/>
              </w:rPr>
              <w:t>NOCs and governments “explicitly anchoring investment programs in security of supply.” Gas-focused programs in Eastern Med and SE Asia; deepwater expansion in India and South America; domestic production emphasis in NA.</w:t>
            </w:r>
          </w:p>
        </w:tc>
        <w:tc>
          <w:tcPr>
            <w:tcW w:type="dxa" w:w="2160"/>
          </w:tcPr>
          <w:p>
            <w:r>
              <w:rPr>
                <w:rFonts w:ascii="Calibri" w:hAnsi="Calibri"/>
                <w:sz w:val="22"/>
              </w:rPr>
              <w:t>Macro tailwind for SLB’s international business. Energy security theme is a multi-year structural driver.</w:t>
            </w:r>
          </w:p>
        </w:tc>
        <w:tc>
          <w:tcPr>
            <w:tcW w:type="dxa" w:w="2160"/>
          </w:tcPr>
          <w:p>
            <w:r>
              <w:rPr>
                <w:rFonts w:ascii="Calibri" w:hAnsi="Calibri"/>
                <w:b/>
                <w:color w:val="30A46C"/>
                <w:sz w:val="22"/>
              </w:rPr>
              <w:t>↑ Positive</w:t>
            </w:r>
          </w:p>
        </w:tc>
      </w:tr>
    </w:tbl>
    <w:p>
      <w:pPr>
        <w:pStyle w:val="Heading3"/>
      </w:pPr>
      <w:r>
        <w:rPr>
          <w:rFonts w:ascii="Calibri" w:hAnsi="Calibri"/>
          <w:b/>
          <w:color w:val="3B4259"/>
          <w:sz w:val="24"/>
        </w:rPr>
        <w:t>7C. TechnipFMC (FTI) — JP Morgan Natural Resources Conference (June 24, 2026) &amp; Bernstein Conference (May 27, 2026)</w:t>
      </w:r>
    </w:p>
    <w:p>
      <w:r>
        <w:rPr>
          <w:rFonts w:ascii="Calibri" w:hAnsi="Calibri"/>
          <w:b/>
          <w:color w:val="525866"/>
          <w:sz w:val="22"/>
        </w:rPr>
        <w:t xml:space="preserve">Read-Through Type: </w:t>
      </w:r>
      <w:r>
        <w:rPr>
          <w:rFonts w:ascii="Calibri" w:hAnsi="Calibri"/>
          <w:b/>
          <w:color w:val="002FA7"/>
          <w:sz w:val="22"/>
        </w:rPr>
        <w:t>INDIRECT</w:t>
      </w:r>
      <w:r>
        <w:rPr>
          <w:rFonts w:ascii="Calibri" w:hAnsi="Calibri"/>
          <w:color w:val="525866"/>
          <w:sz w:val="22"/>
        </w:rPr>
        <w:t xml:space="preserve"> — FTI is a subsea/offshore specialist; highly relevant for SLB’s OneSubsea and offshore segments, less so for Well Construction and Reservoir Performance.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FTI Commentary (May–June 2026)</w:t>
            </w:r>
          </w:p>
        </w:tc>
        <w:tc>
          <w:tcPr>
            <w:tcW w:type="dxa" w:w="2160"/>
            <w:shd w:val="clear" w:color="auto" w:fill="3B4259"/>
          </w:tcPr>
          <w:p>
            <w:r>
              <w:rPr>
                <w:rFonts w:ascii="Calibri" w:hAnsi="Calibri"/>
                <w:b/>
                <w:color w:val="FFFFFF"/>
                <w:sz w:val="22"/>
              </w:rPr>
              <w:t>SLB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Offshore Market Structure</w:t>
            </w:r>
          </w:p>
        </w:tc>
        <w:tc>
          <w:tcPr>
            <w:tcW w:type="dxa" w:w="2160"/>
          </w:tcPr>
          <w:p>
            <w:r>
              <w:rPr>
                <w:rFonts w:ascii="Calibri" w:hAnsi="Calibri"/>
                <w:sz w:val="22"/>
              </w:rPr>
              <w:t>“We are in the midst of a structural change, and the thought of it being a cycle is becoming less and less obvious.” Subsea Opportunity List at record $30B, up 30% over 2 years, growing quarter-on-quarter.</w:t>
            </w:r>
          </w:p>
        </w:tc>
        <w:tc>
          <w:tcPr>
            <w:tcW w:type="dxa" w:w="2160"/>
          </w:tcPr>
          <w:p>
            <w:r>
              <w:rPr>
                <w:rFonts w:ascii="Calibri" w:hAnsi="Calibri"/>
                <w:sz w:val="22"/>
              </w:rPr>
              <w:t>Strong positive for SLB’s OneSubsea bookings and offshore backlog. Structural (not cyclical) framing supports multi-year revenue visibility.</w:t>
            </w:r>
          </w:p>
        </w:tc>
        <w:tc>
          <w:tcPr>
            <w:tcW w:type="dxa" w:w="2160"/>
          </w:tcPr>
          <w:p>
            <w:r>
              <w:rPr>
                <w:rFonts w:ascii="Calibri" w:hAnsi="Calibri"/>
                <w:b/>
                <w:color w:val="30A46C"/>
                <w:sz w:val="22"/>
              </w:rPr>
              <w:t>↑ Positive</w:t>
            </w:r>
          </w:p>
        </w:tc>
      </w:tr>
      <w:tr>
        <w:tc>
          <w:tcPr>
            <w:tcW w:type="dxa" w:w="2160"/>
          </w:tcPr>
          <w:p>
            <w:r>
              <w:rPr>
                <w:rFonts w:ascii="Calibri" w:hAnsi="Calibri"/>
                <w:sz w:val="22"/>
              </w:rPr>
              <w:t>Offshore Project Economics</w:t>
            </w:r>
          </w:p>
        </w:tc>
        <w:tc>
          <w:tcPr>
            <w:tcW w:type="dxa" w:w="2160"/>
          </w:tcPr>
          <w:p>
            <w:r>
              <w:rPr>
                <w:rFonts w:ascii="Calibri" w:hAnsi="Calibri"/>
                <w:sz w:val="22"/>
              </w:rPr>
              <w:t>“The economics offshore have improved dramatically, while the economics in the U.S. unconventionals continue to be quite challenged.” Cycle time reductions of up to 1 year on 3-year projects.</w:t>
            </w:r>
          </w:p>
        </w:tc>
        <w:tc>
          <w:tcPr>
            <w:tcW w:type="dxa" w:w="2160"/>
          </w:tcPr>
          <w:p>
            <w:r>
              <w:rPr>
                <w:rFonts w:ascii="Calibri" w:hAnsi="Calibri"/>
                <w:sz w:val="22"/>
              </w:rPr>
              <w:t>Improved offshore economics drive more FIDs, expanding SLB’s addressable market. Negative read for NA unconventional.</w:t>
            </w:r>
          </w:p>
        </w:tc>
        <w:tc>
          <w:tcPr>
            <w:tcW w:type="dxa" w:w="2160"/>
          </w:tcPr>
          <w:p>
            <w:r>
              <w:rPr>
                <w:rFonts w:ascii="Calibri" w:hAnsi="Calibri"/>
                <w:b/>
                <w:color w:val="002FA7"/>
                <w:sz w:val="22"/>
              </w:rPr>
              <w:t>↑ Positive (offshore) / ↓ Negative (NA)</w:t>
            </w:r>
          </w:p>
        </w:tc>
      </w:tr>
      <w:tr>
        <w:tc>
          <w:tcPr>
            <w:tcW w:type="dxa" w:w="2160"/>
          </w:tcPr>
          <w:p>
            <w:r>
              <w:rPr>
                <w:rFonts w:ascii="Calibri" w:hAnsi="Calibri"/>
                <w:sz w:val="22"/>
              </w:rPr>
              <w:t>Deepwater FID Activity</w:t>
            </w:r>
          </w:p>
        </w:tc>
        <w:tc>
          <w:tcPr>
            <w:tcW w:type="dxa" w:w="2160"/>
          </w:tcPr>
          <w:p>
            <w:r>
              <w:rPr>
                <w:rFonts w:ascii="Calibri" w:hAnsi="Calibri"/>
                <w:sz w:val="22"/>
              </w:rPr>
              <w:t>“A lot of deepwater FID activity across the US Gulf, Brazil, West Africa.” Suriname (TotalEnergies), Namibia (potential FID this year), Guyana (ExxonMobil pathway to 2M bbl/day), Mozambique, Indonesia all active.</w:t>
            </w:r>
          </w:p>
        </w:tc>
        <w:tc>
          <w:tcPr>
            <w:tcW w:type="dxa" w:w="2160"/>
          </w:tcPr>
          <w:p>
            <w:r>
              <w:rPr>
                <w:rFonts w:ascii="Calibri" w:hAnsi="Calibri"/>
                <w:sz w:val="22"/>
              </w:rPr>
              <w:t>Broad-based deepwater FID momentum is a leading indicator for SLB’s Well Construction and Reservoir Performance segments in these basins.</w:t>
            </w:r>
          </w:p>
        </w:tc>
        <w:tc>
          <w:tcPr>
            <w:tcW w:type="dxa" w:w="2160"/>
          </w:tcPr>
          <w:p>
            <w:r>
              <w:rPr>
                <w:rFonts w:ascii="Calibri" w:hAnsi="Calibri"/>
                <w:b/>
                <w:color w:val="30A46C"/>
                <w:sz w:val="22"/>
              </w:rPr>
              <w:t>↑ Positive</w:t>
            </w:r>
          </w:p>
        </w:tc>
      </w:tr>
      <w:tr>
        <w:tc>
          <w:tcPr>
            <w:tcW w:type="dxa" w:w="2160"/>
          </w:tcPr>
          <w:p>
            <w:r>
              <w:rPr>
                <w:rFonts w:ascii="Calibri" w:hAnsi="Calibri"/>
                <w:sz w:val="22"/>
              </w:rPr>
              <w:t>Geopolitical Impact on Offshore</w:t>
            </w:r>
          </w:p>
        </w:tc>
        <w:tc>
          <w:tcPr>
            <w:tcW w:type="dxa" w:w="2160"/>
          </w:tcPr>
          <w:p>
            <w:r>
              <w:rPr>
                <w:rFonts w:ascii="Calibri" w:hAnsi="Calibri"/>
                <w:sz w:val="22"/>
              </w:rPr>
              <w:t>Clients “looking at ways to accelerate their production, particularly in regions that are more less impacted” by conflict. Portfolio diversification away from ME conflict zones.</w:t>
            </w:r>
          </w:p>
        </w:tc>
        <w:tc>
          <w:tcPr>
            <w:tcW w:type="dxa" w:w="2160"/>
          </w:tcPr>
          <w:p>
            <w:r>
              <w:rPr>
                <w:rFonts w:ascii="Calibri" w:hAnsi="Calibri"/>
                <w:sz w:val="22"/>
              </w:rPr>
              <w:t>ME disruption is accelerating investment in other offshore regions — a net positive for SLB’s non-ME international business.</w:t>
            </w:r>
          </w:p>
        </w:tc>
        <w:tc>
          <w:tcPr>
            <w:tcW w:type="dxa" w:w="2160"/>
          </w:tcPr>
          <w:p>
            <w:r>
              <w:rPr>
                <w:rFonts w:ascii="Calibri" w:hAnsi="Calibri"/>
                <w:b/>
                <w:color w:val="30A46C"/>
                <w:sz w:val="22"/>
              </w:rPr>
              <w:t>↑ Positive (ex-ME)</w:t>
            </w:r>
          </w:p>
        </w:tc>
      </w:tr>
      <w:tr>
        <w:tc>
          <w:tcPr>
            <w:tcW w:type="dxa" w:w="2160"/>
          </w:tcPr>
          <w:p>
            <w:r>
              <w:rPr>
                <w:rFonts w:ascii="Calibri" w:hAnsi="Calibri"/>
                <w:sz w:val="22"/>
              </w:rPr>
              <w:t>North America Onshore</w:t>
            </w:r>
          </w:p>
        </w:tc>
        <w:tc>
          <w:tcPr>
            <w:tcW w:type="dxa" w:w="2160"/>
          </w:tcPr>
          <w:p>
            <w:r>
              <w:rPr>
                <w:rFonts w:ascii="Calibri" w:hAnsi="Calibri"/>
                <w:sz w:val="22"/>
              </w:rPr>
              <w:t>“We have not seen” the anticipated short-term NA upcycle. “If we see that, it will be cyclical, and it will be very short cycle.” US unconventionals “continue to be quite challenged.”</w:t>
            </w:r>
          </w:p>
        </w:tc>
        <w:tc>
          <w:tcPr>
            <w:tcW w:type="dxa" w:w="2160"/>
          </w:tcPr>
          <w:p>
            <w:r>
              <w:rPr>
                <w:rFonts w:ascii="Calibri" w:hAnsi="Calibri"/>
                <w:sz w:val="22"/>
              </w:rPr>
              <w:t>Negative read for SLB’s NA onshore segment. Consistent with SLB’s own flat NA guidance.</w:t>
            </w:r>
          </w:p>
        </w:tc>
        <w:tc>
          <w:tcPr>
            <w:tcW w:type="dxa" w:w="2160"/>
          </w:tcPr>
          <w:p>
            <w:r>
              <w:rPr>
                <w:rFonts w:ascii="Calibri" w:hAnsi="Calibri"/>
                <w:b/>
                <w:color w:val="E5484D"/>
                <w:sz w:val="22"/>
              </w:rPr>
              <w:t>↓ Slight Negative</w:t>
            </w:r>
          </w:p>
        </w:tc>
      </w:tr>
      <w:tr>
        <w:tc>
          <w:tcPr>
            <w:tcW w:type="dxa" w:w="2160"/>
          </w:tcPr>
          <w:p>
            <w:r>
              <w:rPr>
                <w:rFonts w:ascii="Calibri" w:hAnsi="Calibri"/>
                <w:sz w:val="22"/>
              </w:rPr>
              <w:t>Industry Capacity / Pricing</w:t>
            </w:r>
          </w:p>
        </w:tc>
        <w:tc>
          <w:tcPr>
            <w:tcW w:type="dxa" w:w="2160"/>
          </w:tcPr>
          <w:p>
            <w:r>
              <w:rPr>
                <w:rFonts w:ascii="Calibri" w:hAnsi="Calibri"/>
                <w:sz w:val="22"/>
              </w:rPr>
              <w:t>Competitors facing capacity constraints, rising capital costs, and quality challenges. Potential for “significant oil service inflation” in a structural offshore upcycle.</w:t>
            </w:r>
          </w:p>
        </w:tc>
        <w:tc>
          <w:tcPr>
            <w:tcW w:type="dxa" w:w="2160"/>
          </w:tcPr>
          <w:p>
            <w:r>
              <w:rPr>
                <w:rFonts w:ascii="Calibri" w:hAnsi="Calibri"/>
                <w:sz w:val="22"/>
              </w:rPr>
              <w:t>Supports SLB’s pricing power in offshore markets. Tight capacity is a tailwind for margin expansion.</w:t>
            </w:r>
          </w:p>
        </w:tc>
        <w:tc>
          <w:tcPr>
            <w:tcW w:type="dxa" w:w="2160"/>
          </w:tcPr>
          <w:p>
            <w:r>
              <w:rPr>
                <w:rFonts w:ascii="Calibri" w:hAnsi="Calibri"/>
                <w:b/>
                <w:color w:val="30A46C"/>
                <w:sz w:val="22"/>
              </w:rPr>
              <w:t>↑ Positive</w:t>
            </w:r>
          </w:p>
        </w:tc>
      </w:tr>
    </w:tbl>
    <w:p>
      <w:pPr>
        <w:pStyle w:val="Heading3"/>
      </w:pPr>
      <w:r>
        <w:rPr>
          <w:rFonts w:ascii="Calibri" w:hAnsi="Calibri"/>
          <w:b/>
          <w:color w:val="3B4259"/>
          <w:sz w:val="24"/>
        </w:rPr>
        <w:t>7D. Baker Hughes (BKR) — Bernstein Strategic Decisions Conference (May 27, 2026)</w:t>
      </w:r>
    </w:p>
    <w:p>
      <w:r>
        <w:rPr>
          <w:rFonts w:ascii="Calibri" w:hAnsi="Calibri"/>
          <w:b/>
          <w:color w:val="525866"/>
          <w:sz w:val="22"/>
        </w:rPr>
        <w:t xml:space="preserve">Read-Through Type: </w:t>
      </w:r>
      <w:r>
        <w:rPr>
          <w:rFonts w:ascii="Calibri" w:hAnsi="Calibri"/>
          <w:b/>
          <w:color w:val="002FA7"/>
          <w:sz w:val="22"/>
        </w:rPr>
        <w:t>INDIRECT</w:t>
      </w:r>
      <w:r>
        <w:rPr>
          <w:rFonts w:ascii="Calibri" w:hAnsi="Calibri"/>
          <w:color w:val="525866"/>
          <w:sz w:val="22"/>
        </w:rPr>
        <w:t xml:space="preserve"> — BKR is 75% international and 50% offshore but more production-focused and less upstream-cyclical than SLB; useful for macro and regional color.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BKR Commentary (May 27, 2026)</w:t>
            </w:r>
          </w:p>
        </w:tc>
        <w:tc>
          <w:tcPr>
            <w:tcW w:type="dxa" w:w="2160"/>
            <w:shd w:val="clear" w:color="auto" w:fill="3B4259"/>
          </w:tcPr>
          <w:p>
            <w:r>
              <w:rPr>
                <w:rFonts w:ascii="Calibri" w:hAnsi="Calibri"/>
                <w:b/>
                <w:color w:val="FFFFFF"/>
                <w:sz w:val="22"/>
              </w:rPr>
              <w:t>SLB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Middle East Activity (Q2)</w:t>
            </w:r>
          </w:p>
        </w:tc>
        <w:tc>
          <w:tcPr>
            <w:tcW w:type="dxa" w:w="2160"/>
          </w:tcPr>
          <w:p>
            <w:r>
              <w:rPr>
                <w:rFonts w:ascii="Calibri" w:hAnsi="Calibri"/>
                <w:sz w:val="22"/>
              </w:rPr>
              <w:t>“Activity is ongoing, and we’re working very well with our customers to ensure the safety as well as business continuity.” (May 27 — mid-Q2 color)</w:t>
            </w:r>
          </w:p>
        </w:tc>
        <w:tc>
          <w:tcPr>
            <w:tcW w:type="dxa" w:w="2160"/>
          </w:tcPr>
          <w:p>
            <w:r>
              <w:rPr>
                <w:rFonts w:ascii="Calibri" w:hAnsi="Calibri"/>
                <w:sz w:val="22"/>
              </w:rPr>
              <w:t>Direct positive read-through for SLB’s ME operations. Confirms activity did not fully halt in Q2, supporting the partial-offset scenario.</w:t>
            </w:r>
          </w:p>
        </w:tc>
        <w:tc>
          <w:tcPr>
            <w:tcW w:type="dxa" w:w="2160"/>
          </w:tcPr>
          <w:p>
            <w:r>
              <w:rPr>
                <w:rFonts w:ascii="Calibri" w:hAnsi="Calibri"/>
                <w:b/>
                <w:color w:val="30A46C"/>
                <w:sz w:val="22"/>
              </w:rPr>
              <w:t>↑ Positive</w:t>
            </w:r>
          </w:p>
        </w:tc>
      </w:tr>
      <w:tr>
        <w:tc>
          <w:tcPr>
            <w:tcW w:type="dxa" w:w="2160"/>
          </w:tcPr>
          <w:p>
            <w:r>
              <w:rPr>
                <w:rFonts w:ascii="Calibri" w:hAnsi="Calibri"/>
                <w:sz w:val="22"/>
              </w:rPr>
              <w:t>International Upstream Outlook</w:t>
            </w:r>
          </w:p>
        </w:tc>
        <w:tc>
          <w:tcPr>
            <w:tcW w:type="dxa" w:w="2160"/>
          </w:tcPr>
          <w:p>
            <w:r>
              <w:rPr>
                <w:rFonts w:ascii="Calibri" w:hAnsi="Calibri"/>
                <w:sz w:val="22"/>
              </w:rPr>
              <w:t>“International upstream is going to continue to increase.” Activity increasing in Nigeria, other Africa locations. “First movers will be shorter-cycle barrels in North America.”</w:t>
            </w:r>
          </w:p>
        </w:tc>
        <w:tc>
          <w:tcPr>
            <w:tcW w:type="dxa" w:w="2160"/>
          </w:tcPr>
          <w:p>
            <w:r>
              <w:rPr>
                <w:rFonts w:ascii="Calibri" w:hAnsi="Calibri"/>
                <w:sz w:val="22"/>
              </w:rPr>
              <w:t>Positive for SLB’s Africa and international upstream exposure. Shorter-cycle NA comment is consistent with SLB’s flat NA guidance.</w:t>
            </w:r>
          </w:p>
        </w:tc>
        <w:tc>
          <w:tcPr>
            <w:tcW w:type="dxa" w:w="2160"/>
          </w:tcPr>
          <w:p>
            <w:r>
              <w:rPr>
                <w:rFonts w:ascii="Calibri" w:hAnsi="Calibri"/>
                <w:b/>
                <w:color w:val="30A46C"/>
                <w:sz w:val="22"/>
              </w:rPr>
              <w:t>↑ Positive</w:t>
            </w:r>
          </w:p>
        </w:tc>
      </w:tr>
      <w:tr>
        <w:tc>
          <w:tcPr>
            <w:tcW w:type="dxa" w:w="2160"/>
          </w:tcPr>
          <w:p>
            <w:r>
              <w:rPr>
                <w:rFonts w:ascii="Calibri" w:hAnsi="Calibri"/>
                <w:sz w:val="22"/>
              </w:rPr>
              <w:t>Middle East Infrastructure Build</w:t>
            </w:r>
          </w:p>
        </w:tc>
        <w:tc>
          <w:tcPr>
            <w:tcW w:type="dxa" w:w="2160"/>
          </w:tcPr>
          <w:p>
            <w:r>
              <w:rPr>
                <w:rFonts w:ascii="Calibri" w:hAnsi="Calibri"/>
                <w:sz w:val="22"/>
              </w:rPr>
              <w:t>Pipelines to bypass Strait of Hormuz, new LNG plants, Master Gas System in Saudi Arabia, NEOM hydrogen project — all cited as incremental opportunities from the conflict.</w:t>
            </w:r>
          </w:p>
        </w:tc>
        <w:tc>
          <w:tcPr>
            <w:tcW w:type="dxa" w:w="2160"/>
          </w:tcPr>
          <w:p>
            <w:r>
              <w:rPr>
                <w:rFonts w:ascii="Calibri" w:hAnsi="Calibri"/>
                <w:sz w:val="22"/>
              </w:rPr>
              <w:t>Positive for SLB’s medium-term ME outlook. Infrastructure build-out is a multi-year tailwind for Well Construction and Production Systems.</w:t>
            </w:r>
          </w:p>
        </w:tc>
        <w:tc>
          <w:tcPr>
            <w:tcW w:type="dxa" w:w="2160"/>
          </w:tcPr>
          <w:p>
            <w:r>
              <w:rPr>
                <w:rFonts w:ascii="Calibri" w:hAnsi="Calibri"/>
                <w:b/>
                <w:color w:val="30A46C"/>
                <w:sz w:val="22"/>
              </w:rPr>
              <w:t>↑ Positive (medium-term)</w:t>
            </w:r>
          </w:p>
        </w:tc>
      </w:tr>
      <w:tr>
        <w:tc>
          <w:tcPr>
            <w:tcW w:type="dxa" w:w="2160"/>
          </w:tcPr>
          <w:p>
            <w:r>
              <w:rPr>
                <w:rFonts w:ascii="Calibri" w:hAnsi="Calibri"/>
                <w:sz w:val="22"/>
              </w:rPr>
              <w:t>Supply Chain Constraints</w:t>
            </w:r>
          </w:p>
        </w:tc>
        <w:tc>
          <w:tcPr>
            <w:tcW w:type="dxa" w:w="2160"/>
          </w:tcPr>
          <w:p>
            <w:r>
              <w:rPr>
                <w:rFonts w:ascii="Calibri" w:hAnsi="Calibri"/>
                <w:sz w:val="22"/>
              </w:rPr>
              <w:t>“Supply chain is constrained when you need something today on a facility that’s potentially been impacted from the conflict.” LNG facility repair timelines of 3–5 years cited.</w:t>
            </w:r>
          </w:p>
        </w:tc>
        <w:tc>
          <w:tcPr>
            <w:tcW w:type="dxa" w:w="2160"/>
          </w:tcPr>
          <w:p>
            <w:r>
              <w:rPr>
                <w:rFonts w:ascii="Calibri" w:hAnsi="Calibri"/>
                <w:sz w:val="22"/>
              </w:rPr>
              <w:t>Confirms industry-wide supply chain pressure in ME — consistent with SLB’s Q1 commentary on elevated logistics and raw material costs.</w:t>
            </w:r>
          </w:p>
        </w:tc>
        <w:tc>
          <w:tcPr>
            <w:tcW w:type="dxa" w:w="2160"/>
          </w:tcPr>
          <w:p>
            <w:r>
              <w:rPr>
                <w:rFonts w:ascii="Calibri" w:hAnsi="Calibri"/>
                <w:b/>
                <w:color w:val="E5484D"/>
                <w:sz w:val="22"/>
              </w:rPr>
              <w:t>↓ Slight Negative (near-term)</w:t>
            </w:r>
          </w:p>
        </w:tc>
      </w:tr>
      <w:tr>
        <w:tc>
          <w:tcPr>
            <w:tcW w:type="dxa" w:w="2160"/>
          </w:tcPr>
          <w:p>
            <w:r>
              <w:rPr>
                <w:rFonts w:ascii="Calibri" w:hAnsi="Calibri"/>
                <w:sz w:val="22"/>
              </w:rPr>
              <w:t>Energy Security Theme</w:t>
            </w:r>
          </w:p>
        </w:tc>
        <w:tc>
          <w:tcPr>
            <w:tcW w:type="dxa" w:w="2160"/>
          </w:tcPr>
          <w:p>
            <w:r>
              <w:rPr>
                <w:rFonts w:ascii="Calibri" w:hAnsi="Calibri"/>
                <w:sz w:val="22"/>
              </w:rPr>
              <w:t>“The world needs more energy. Energy security is what we’re hearing a lot about.” Expects “an increase in investments across multiple areas” as aftermath of geopolitical events.</w:t>
            </w:r>
          </w:p>
        </w:tc>
        <w:tc>
          <w:tcPr>
            <w:tcW w:type="dxa" w:w="2160"/>
          </w:tcPr>
          <w:p>
            <w:r>
              <w:rPr>
                <w:rFonts w:ascii="Calibri" w:hAnsi="Calibri"/>
                <w:sz w:val="22"/>
              </w:rPr>
              <w:t>Macro tailwind for SLB’s entire international portfolio. Energy security is a structural driver for upstream investment.</w:t>
            </w:r>
          </w:p>
        </w:tc>
        <w:tc>
          <w:tcPr>
            <w:tcW w:type="dxa" w:w="2160"/>
          </w:tcPr>
          <w:p>
            <w:r>
              <w:rPr>
                <w:rFonts w:ascii="Calibri" w:hAnsi="Calibri"/>
                <w:b/>
                <w:color w:val="30A46C"/>
                <w:sz w:val="22"/>
              </w:rPr>
              <w:t>↑ Positive</w:t>
            </w:r>
          </w:p>
        </w:tc>
      </w:tr>
    </w:tbl>
    <w:p>
      <w:r>
        <w:rPr>
          <w:rFonts w:ascii="Calibri" w:hAnsi="Calibri"/>
          <w:b/>
          <w:color w:val="525866"/>
          <w:sz w:val="22"/>
        </w:rPr>
        <w:t>Overall Peer Read-Through Summary:</w:t>
      </w:r>
      <w:r>
        <w:rPr>
          <w:rFonts w:ascii="Calibri" w:hAnsi="Calibri"/>
          <w:color w:val="525866"/>
          <w:sz w:val="22"/>
        </w:rPr>
        <w:t xml:space="preserve"> The weight of peer evidence is constructive for SLB’s Q2 print. HAL’s direct Q2 results confirm the international recovery thesis and North America momentum. WFRD validates the Middle East disruption narrative and confirms logistics costs peaked in May — a positive exit-rate signal. FTI and BKR conference commentary reinforces the structural offshore upcycle and energy security investment theme. The one consistent negative across peers is North America onshore, where activity is improving but not inflecting, consistent with SLB’s flat guidance. The key risk is that the Middle East recovery pace was slower than the HAL/WFRD commentary implies for SLB specifically, given SLB’s higher ME concentration (Qatar force majeure, Iraq shutdowns were SLB-specific events).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Q1 earnings has been sales — no open-market buys. The CEO’s two sales are under a 10b5-1 plan (pre-scheduled, not discretionary), which limits their signal value. The EVP Geographies sale is discretionary and notable in size (~53K shares), though it occurred immediately post-Q1 earnings and may reflect personal liquidity needs rather than a negative view on the stock.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Le Peuch, Olivier</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25,000</w:t>
            </w:r>
          </w:p>
        </w:tc>
        <w:tc>
          <w:tcPr>
            <w:tcW w:type="dxa" w:w="1234"/>
          </w:tcPr>
          <w:p>
            <w:r>
              <w:rPr>
                <w:rFonts w:ascii="Calibri" w:hAnsi="Calibri"/>
                <w:sz w:val="22"/>
              </w:rPr>
              <w:t>~$1.4M</w:t>
            </w:r>
          </w:p>
        </w:tc>
        <w:tc>
          <w:tcPr>
            <w:tcW w:type="dxa" w:w="1234"/>
          </w:tcPr>
          <w:p>
            <w:r>
              <w:rPr>
                <w:rFonts w:ascii="Calibri" w:hAnsi="Calibri"/>
                <w:sz w:val="22"/>
              </w:rPr>
              <w:t>May 27, 2026</w:t>
            </w:r>
          </w:p>
        </w:tc>
        <w:tc>
          <w:tcPr>
            <w:tcW w:type="dxa" w:w="1234"/>
          </w:tcPr>
          <w:p>
            <w:r>
              <w:rPr>
                <w:rFonts w:ascii="Calibri" w:hAnsi="Calibri"/>
                <w:sz w:val="22"/>
              </w:rPr>
              <w:t>Pre-scheduled 10b5-1 plan; not discretionary. Retains 1,366,328 shares post-sale.</w:t>
            </w:r>
          </w:p>
        </w:tc>
      </w:tr>
      <w:tr>
        <w:tc>
          <w:tcPr>
            <w:tcW w:type="dxa" w:w="1234"/>
          </w:tcPr>
          <w:p>
            <w:r>
              <w:rPr>
                <w:rFonts w:ascii="Calibri" w:hAnsi="Calibri"/>
                <w:sz w:val="22"/>
              </w:rPr>
              <w:t>de La Chevardiere, Patrick</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~$111K</w:t>
            </w:r>
          </w:p>
        </w:tc>
        <w:tc>
          <w:tcPr>
            <w:tcW w:type="dxa" w:w="1234"/>
          </w:tcPr>
          <w:p>
            <w:r>
              <w:rPr>
                <w:rFonts w:ascii="Calibri" w:hAnsi="Calibri"/>
                <w:sz w:val="22"/>
              </w:rPr>
              <w:t>May 7, 2026</w:t>
            </w:r>
          </w:p>
        </w:tc>
        <w:tc>
          <w:tcPr>
            <w:tcW w:type="dxa" w:w="1234"/>
          </w:tcPr>
          <w:p>
            <w:r>
              <w:rPr>
                <w:rFonts w:ascii="Calibri" w:hAnsi="Calibri"/>
                <w:sz w:val="22"/>
              </w:rPr>
              <w:t>Discretionary sale; small size relative to holdings (16,953 shares post-sale). Limited signal value.</w:t>
            </w:r>
          </w:p>
        </w:tc>
      </w:tr>
      <w:tr>
        <w:tc>
          <w:tcPr>
            <w:tcW w:type="dxa" w:w="1234"/>
          </w:tcPr>
          <w:p>
            <w:r>
              <w:rPr>
                <w:rFonts w:ascii="Calibri" w:hAnsi="Calibri"/>
                <w:sz w:val="22"/>
              </w:rPr>
              <w:t>Gassen, Steve Matthew</w:t>
            </w:r>
          </w:p>
        </w:tc>
        <w:tc>
          <w:tcPr>
            <w:tcW w:type="dxa" w:w="1234"/>
          </w:tcPr>
          <w:p>
            <w:r>
              <w:rPr>
                <w:rFonts w:ascii="Calibri" w:hAnsi="Calibri"/>
                <w:sz w:val="22"/>
              </w:rPr>
              <w:t>EVP, Geographies</w:t>
            </w:r>
          </w:p>
        </w:tc>
        <w:tc>
          <w:tcPr>
            <w:tcW w:type="dxa" w:w="1234"/>
          </w:tcPr>
          <w:p>
            <w:r>
              <w:rPr>
                <w:rFonts w:ascii="Calibri" w:hAnsi="Calibri"/>
                <w:sz w:val="22"/>
              </w:rPr>
              <w:t>Open Market Sale</w:t>
            </w:r>
          </w:p>
        </w:tc>
        <w:tc>
          <w:tcPr>
            <w:tcW w:type="dxa" w:w="1234"/>
          </w:tcPr>
          <w:p>
            <w:r>
              <w:rPr>
                <w:rFonts w:ascii="Calibri" w:hAnsi="Calibri"/>
                <w:sz w:val="22"/>
              </w:rPr>
              <w:t>53,379</w:t>
            </w:r>
          </w:p>
        </w:tc>
        <w:tc>
          <w:tcPr>
            <w:tcW w:type="dxa" w:w="1234"/>
          </w:tcPr>
          <w:p>
            <w:r>
              <w:rPr>
                <w:rFonts w:ascii="Calibri" w:hAnsi="Calibri"/>
                <w:sz w:val="22"/>
              </w:rPr>
              <w:t>~$2.9M</w:t>
            </w:r>
          </w:p>
        </w:tc>
        <w:tc>
          <w:tcPr>
            <w:tcW w:type="dxa" w:w="1234"/>
          </w:tcPr>
          <w:p>
            <w:r>
              <w:rPr>
                <w:rFonts w:ascii="Calibri" w:hAnsi="Calibri"/>
                <w:sz w:val="22"/>
              </w:rPr>
              <w:t>May 1, 2026</w:t>
            </w:r>
          </w:p>
        </w:tc>
        <w:tc>
          <w:tcPr>
            <w:tcW w:type="dxa" w:w="1234"/>
          </w:tcPr>
          <w:p>
            <w:r>
              <w:rPr>
                <w:rFonts w:ascii="Calibri" w:hAnsi="Calibri"/>
                <w:sz w:val="22"/>
              </w:rPr>
              <w:t>Discretionary sale; largest in dollar terms. Sold ~53% of pre-sale position. Occurred 1 week post-Q1 earnings. No 10b5-1 plan indicated.</w:t>
            </w:r>
          </w:p>
        </w:tc>
      </w:tr>
      <w:tr>
        <w:tc>
          <w:tcPr>
            <w:tcW w:type="dxa" w:w="1234"/>
          </w:tcPr>
          <w:p>
            <w:r>
              <w:rPr>
                <w:rFonts w:ascii="Calibri" w:hAnsi="Calibri"/>
                <w:sz w:val="22"/>
              </w:rPr>
              <w:t>Le Peuch, Olivier</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25,000</w:t>
            </w:r>
          </w:p>
        </w:tc>
        <w:tc>
          <w:tcPr>
            <w:tcW w:type="dxa" w:w="1234"/>
          </w:tcPr>
          <w:p>
            <w:r>
              <w:rPr>
                <w:rFonts w:ascii="Calibri" w:hAnsi="Calibri"/>
                <w:sz w:val="22"/>
              </w:rPr>
              <w:t>~$1.4M</w:t>
            </w:r>
          </w:p>
        </w:tc>
        <w:tc>
          <w:tcPr>
            <w:tcW w:type="dxa" w:w="1234"/>
          </w:tcPr>
          <w:p>
            <w:r>
              <w:rPr>
                <w:rFonts w:ascii="Calibri" w:hAnsi="Calibri"/>
                <w:sz w:val="22"/>
              </w:rPr>
              <w:t>Apr 29, 2026</w:t>
            </w:r>
          </w:p>
        </w:tc>
        <w:tc>
          <w:tcPr>
            <w:tcW w:type="dxa" w:w="1234"/>
          </w:tcPr>
          <w:p>
            <w:r>
              <w:rPr>
                <w:rFonts w:ascii="Calibri" w:hAnsi="Calibri"/>
                <w:sz w:val="22"/>
              </w:rPr>
              <w:t>Pre-scheduled 10b5-1 plan; not discretionary. Retains 1,391,328 shares post-sale.</w:t>
            </w:r>
          </w:p>
        </w:tc>
      </w:tr>
    </w:tbl>
    <w:p>
      <w:r>
        <w:rPr>
          <w:rFonts w:ascii="Calibri" w:hAnsi="Calibri"/>
          <w:b/>
          <w:color w:val="525866"/>
          <w:sz w:val="22"/>
        </w:rPr>
        <w:t xml:space="preserve">Assessment: </w:t>
      </w:r>
      <w:r>
        <w:rPr>
          <w:rFonts w:ascii="Calibri" w:hAnsi="Calibri"/>
          <w:color w:val="525866"/>
          <w:sz w:val="22"/>
        </w:rPr>
        <w:t xml:space="preserve">No open-market buys from any insider since Q1 earnings. The CEO’s sales are routine 10b5-1 plan transactions and carry no negative signal. The EVP Geographies’ discretionary sale of ~53K shares (~53% of his position) at ~$54/share is the most notable transaction — it occurred one week after Q1 earnings and could reflect personal liquidity needs or a view that the stock was fairly valued at that level. The absence of any insider buying despite a ~16% stock decline since Q1 earnings is worth noting, though not alarming given the 10b5-1 plan context for the CEO. </w:t>
      </w:r>
      <w:r>
        <w:rPr>
          <w:rFonts w:ascii="Calibri" w:hAnsi="Calibri"/>
          <w:i/>
          <w:color w:val="525866"/>
          <w:sz w:val="22"/>
        </w:rPr>
        <w:t>Source: SEC Form 4 Filings Database.</w:t>
      </w:r>
    </w:p>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Q2 call is primarily a Middle East recovery update — the pace, breadth, and trajectory of resumption will drive the stock more than the reported Q2 numbers. Any reinstatement of FY guidance would be a significant positive catalyst.</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Middle East Recovery Slower Than Assumed:</w:t>
      </w:r>
      <w:r>
        <w:rPr>
          <w:rFonts w:ascii="Calibri" w:hAnsi="Calibri"/>
          <w:color w:val="525866"/>
          <w:sz w:val="22"/>
        </w:rPr>
        <w:t xml:space="preserve"> If disruptions in Qatar, Iraq, or Bahrain persisted beyond mid-Q2 (as WFRD’s commentary suggests is possible), SLB’s revenue and EPS could miss even the already-low consensus. The “recent and ongoing incidents” flagged by WFRD on July 22 are a specific risk.</w:t>
      </w:r>
    </w:p>
    <w:p>
      <w:pPr>
        <w:pStyle w:val="ListBullet"/>
        <w:ind w:left="360" w:hanging="360"/>
      </w:pPr>
      <w:r>
        <w:rPr>
          <w:rFonts w:ascii="Calibri" w:hAnsi="Calibri"/>
          <w:b/>
          <w:color w:val="525866"/>
          <w:sz w:val="22"/>
        </w:rPr>
        <w:t>Elevated Logistics &amp; Raw Material Costs:</w:t>
      </w:r>
      <w:r>
        <w:rPr>
          <w:rFonts w:ascii="Calibri" w:hAnsi="Calibri"/>
          <w:color w:val="525866"/>
          <w:sz w:val="22"/>
        </w:rPr>
        <w:t xml:space="preserve"> SLB flagged higher procurement and logistics costs (chemicals, transportation) as a Q2 headwind. If these costs did not moderate as quickly as freight rates suggest, EBITDA margins could disappoint.</w:t>
      </w:r>
    </w:p>
    <w:p>
      <w:pPr>
        <w:pStyle w:val="ListBullet"/>
        <w:ind w:left="360" w:hanging="360"/>
      </w:pPr>
      <w:r>
        <w:rPr>
          <w:rFonts w:ascii="Calibri" w:hAnsi="Calibri"/>
          <w:b/>
          <w:color w:val="525866"/>
          <w:sz w:val="22"/>
        </w:rPr>
        <w:t>Free Cash Flow Conversion:</w:t>
      </w:r>
      <w:r>
        <w:rPr>
          <w:rFonts w:ascii="Calibri" w:hAnsi="Calibri"/>
          <w:color w:val="525866"/>
          <w:sz w:val="22"/>
        </w:rPr>
        <w:t xml:space="preserve"> Q1 FCF was -$23M due to delayed ME collections. If ME collections remained impaired through Q2, FCF could again disappoint vs. the $373M consensus estimate. This is the metric most sensitive to ME recovery timing.</w:t>
      </w:r>
    </w:p>
    <w:p>
      <w:pPr>
        <w:pStyle w:val="ListBullet"/>
        <w:ind w:left="360" w:hanging="360"/>
      </w:pPr>
      <w:r>
        <w:rPr>
          <w:rFonts w:ascii="Calibri" w:hAnsi="Calibri"/>
          <w:b/>
          <w:color w:val="525866"/>
          <w:sz w:val="22"/>
        </w:rPr>
        <w:t>No FY Guidance Reinstatement:</w:t>
      </w:r>
      <w:r>
        <w:rPr>
          <w:rFonts w:ascii="Calibri" w:hAnsi="Calibri"/>
          <w:color w:val="525866"/>
          <w:sz w:val="22"/>
        </w:rPr>
        <w:t xml:space="preserve"> If management again declines to provide FY guidance, the market may interpret this as continued uncertainty, limiting any re-rating even on a solid Q2 print.</w:t>
      </w:r>
    </w:p>
    <w:p>
      <w:pPr>
        <w:pStyle w:val="ListBullet"/>
        <w:ind w:left="360" w:hanging="360"/>
      </w:pPr>
      <w:r>
        <w:rPr>
          <w:rFonts w:ascii="Calibri" w:hAnsi="Calibri"/>
          <w:b/>
          <w:color w:val="525866"/>
          <w:sz w:val="22"/>
        </w:rPr>
        <w:t>Digital Investor Day Credibility:</w:t>
      </w:r>
      <w:r>
        <w:rPr>
          <w:rFonts w:ascii="Calibri" w:hAnsi="Calibri"/>
          <w:color w:val="525866"/>
          <w:sz w:val="22"/>
        </w:rPr>
        <w:t xml:space="preserve"> The stock sold off on the June 17 Digital Investor Day. If Q2 digital metrics (ARR, Data Center Solutions run rate) disappoint vs. the ambitious 2030 targets, it could further erode confidence in the digital re-rating thesis.</w:t>
      </w:r>
    </w:p>
    <w:p>
      <w:pPr>
        <w:pStyle w:val="ListBullet"/>
        <w:ind w:left="360" w:hanging="360"/>
      </w:pPr>
      <w:r>
        <w:rPr>
          <w:rFonts w:ascii="Calibri" w:hAnsi="Calibri"/>
          <w:b/>
          <w:color w:val="525866"/>
          <w:sz w:val="22"/>
        </w:rPr>
        <w:t>Oil Price / Macro Sensitivity:</w:t>
      </w:r>
      <w:r>
        <w:rPr>
          <w:rFonts w:ascii="Calibri" w:hAnsi="Calibri"/>
          <w:color w:val="525866"/>
          <w:sz w:val="22"/>
        </w:rPr>
        <w:t xml:space="preserve"> A sustained decline in oil prices below $70/bbl could prompt customer capex deferrals, particularly in shorter-cycle North America markets.</w:t>
      </w:r>
    </w:p>
    <w:p>
      <w:pPr>
        <w:pStyle w:val="Heading3"/>
      </w:pPr>
      <w:r>
        <w:rPr>
          <w:rFonts w:ascii="Calibri" w:hAnsi="Calibri"/>
          <w:b/>
          <w:color w:val="3B4259"/>
          <w:sz w:val="24"/>
        </w:rPr>
        <w:t>Key Questions for Management</w:t>
      </w:r>
    </w:p>
    <w:p>
      <w:pPr>
        <w:pStyle w:val="ListNumber"/>
        <w:ind w:left="360" w:hanging="360"/>
      </w:pPr>
      <w:r>
        <w:rPr>
          <w:rFonts w:ascii="Calibri" w:hAnsi="Calibri"/>
          <w:b/>
          <w:color w:val="525866"/>
          <w:sz w:val="22"/>
        </w:rPr>
        <w:t>Middle East Recovery Trajectory:</w:t>
      </w:r>
      <w:r>
        <w:rPr>
          <w:rFonts w:ascii="Calibri" w:hAnsi="Calibri"/>
          <w:color w:val="525866"/>
          <w:sz w:val="22"/>
        </w:rPr>
        <w:t xml:space="preserve"> Can you provide a country-by-country update on the pace of resumption in Qatar, Iraq, Bahrain, and Kuwait? Are you now back to pre-conflict activity levels in any of these markets, and what is the timeline for full normalization?</w:t>
      </w:r>
    </w:p>
    <w:p>
      <w:pPr>
        <w:pStyle w:val="ListNumber"/>
        <w:ind w:left="360" w:hanging="360"/>
      </w:pPr>
      <w:r>
        <w:rPr>
          <w:rFonts w:ascii="Calibri" w:hAnsi="Calibri"/>
          <w:b/>
          <w:color w:val="525866"/>
          <w:sz w:val="22"/>
        </w:rPr>
        <w:t>FY 2026 Guidance:</w:t>
      </w:r>
      <w:r>
        <w:rPr>
          <w:rFonts w:ascii="Calibri" w:hAnsi="Calibri"/>
          <w:color w:val="525866"/>
          <w:sz w:val="22"/>
        </w:rPr>
        <w:t xml:space="preserve"> Given the improving visibility on Middle East recovery, are you now in a position to reinstate full-year revenue and EPS guidance? What are the key assumptions?</w:t>
      </w:r>
    </w:p>
    <w:p>
      <w:pPr>
        <w:pStyle w:val="ListNumber"/>
        <w:ind w:left="360" w:hanging="360"/>
      </w:pPr>
      <w:r>
        <w:rPr>
          <w:rFonts w:ascii="Calibri" w:hAnsi="Calibri"/>
          <w:b/>
          <w:color w:val="525866"/>
          <w:sz w:val="22"/>
        </w:rPr>
        <w:t>Logistics &amp; Cost Recovery:</w:t>
      </w:r>
      <w:r>
        <w:rPr>
          <w:rFonts w:ascii="Calibri" w:hAnsi="Calibri"/>
          <w:color w:val="525866"/>
          <w:sz w:val="22"/>
        </w:rPr>
        <w:t xml:space="preserve"> You flagged elevated logistics and raw material costs in Q1. Did these costs moderate in Q2 as freight rates suggest? How much of the incremental cost has been recovered through inflation pass-through clauses?</w:t>
      </w:r>
    </w:p>
    <w:p>
      <w:pPr>
        <w:pStyle w:val="ListNumber"/>
        <w:ind w:left="360" w:hanging="360"/>
      </w:pPr>
      <w:r>
        <w:rPr>
          <w:rFonts w:ascii="Calibri" w:hAnsi="Calibri"/>
          <w:b/>
          <w:color w:val="525866"/>
          <w:sz w:val="22"/>
        </w:rPr>
        <w:t>Free Cash Flow &amp; Collections:</w:t>
      </w:r>
      <w:r>
        <w:rPr>
          <w:rFonts w:ascii="Calibri" w:hAnsi="Calibri"/>
          <w:color w:val="525866"/>
          <w:sz w:val="22"/>
        </w:rPr>
        <w:t xml:space="preserve"> What was the status of Middle East collections in Q2? Are you on track to deliver the majority of FCF in H2, and what is the updated full-year FCF target?</w:t>
      </w:r>
    </w:p>
    <w:p>
      <w:pPr>
        <w:pStyle w:val="ListNumber"/>
        <w:ind w:left="360" w:hanging="360"/>
      </w:pPr>
      <w:r>
        <w:rPr>
          <w:rFonts w:ascii="Calibri" w:hAnsi="Calibri"/>
          <w:b/>
          <w:color w:val="525866"/>
          <w:sz w:val="22"/>
        </w:rPr>
        <w:t>Digital ARR &amp; Data Center Solutions:</w:t>
      </w:r>
      <w:r>
        <w:rPr>
          <w:rFonts w:ascii="Calibri" w:hAnsi="Calibri"/>
          <w:color w:val="525866"/>
          <w:sz w:val="22"/>
        </w:rPr>
        <w:t xml:space="preserve"> What is the current Digital ARR run rate, and are you on track to reach the $1B Data Center Solutions run rate by year-end? Can you provide any Q2 revenue figures for the digital segment?</w:t>
      </w:r>
    </w:p>
    <w:p>
      <w:pPr>
        <w:pStyle w:val="ListNumber"/>
        <w:ind w:left="360" w:hanging="360"/>
      </w:pPr>
      <w:r>
        <w:rPr>
          <w:rFonts w:ascii="Calibri" w:hAnsi="Calibri"/>
          <w:b/>
          <w:color w:val="525866"/>
          <w:sz w:val="22"/>
        </w:rPr>
        <w:t>ChampionX Synergies:</w:t>
      </w:r>
      <w:r>
        <w:rPr>
          <w:rFonts w:ascii="Calibri" w:hAnsi="Calibri"/>
          <w:color w:val="525866"/>
          <w:sz w:val="22"/>
        </w:rPr>
        <w:t xml:space="preserve"> What is the current synergy realization run rate from ChampionX, and are you on track to meet the full-year synergy target?</w:t>
      </w:r>
    </w:p>
    <w:p>
      <w:pPr>
        <w:pStyle w:val="ListNumber"/>
        <w:ind w:left="360" w:hanging="360"/>
      </w:pPr>
      <w:r>
        <w:rPr>
          <w:rFonts w:ascii="Calibri" w:hAnsi="Calibri"/>
          <w:b/>
          <w:color w:val="525866"/>
          <w:sz w:val="22"/>
        </w:rPr>
        <w:t>S&amp;P Global Energy Software Acquisition:</w:t>
      </w:r>
      <w:r>
        <w:rPr>
          <w:rFonts w:ascii="Calibri" w:hAnsi="Calibri"/>
          <w:color w:val="525866"/>
          <w:sz w:val="22"/>
        </w:rPr>
        <w:t xml:space="preserve"> What is the expected closing timeline for the S&amp;P Global Energy software acquisition, and what is the expected ARR contribution upon closing?</w:t>
      </w:r>
    </w:p>
    <w:p>
      <w:pPr>
        <w:pStyle w:val="ListNumber"/>
        <w:ind w:left="360" w:hanging="360"/>
      </w:pPr>
      <w:r>
        <w:rPr>
          <w:rFonts w:ascii="Calibri" w:hAnsi="Calibri"/>
          <w:b/>
          <w:color w:val="525866"/>
          <w:sz w:val="22"/>
        </w:rPr>
        <w:t>Venezuela:</w:t>
      </w:r>
      <w:r>
        <w:rPr>
          <w:rFonts w:ascii="Calibri" w:hAnsi="Calibri"/>
          <w:color w:val="525866"/>
          <w:sz w:val="22"/>
        </w:rPr>
        <w:t xml:space="preserve"> Can you provide an update on the Venezuela opportunity? WFRD flagged “pleasant surprise” progress — is SLB seeing similar momentum?</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