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na-earnings-predictions--2026-07-23"/>
    <w:p>
      <w:pPr>
        <w:pStyle w:val="Heading1"/>
      </w:pPr>
      <w:r>
        <w:t xml:space="preserve">SNA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4.92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/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1.225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Tools Group organic sales growth (swing factor)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~+1.5% vs. cons ~+3.5%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sales growth outlook / technician confidence tone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~+2-3% vs. cons ~+3-4%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Corporate expense run-rate (YoY headwind)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28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26M (Q2/quarterly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effective tax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~22-23% vs. cons ~22.5%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-3.8% (FOLLOW-THROUGH)</w:t>
            </w:r>
          </w:p>
        </w:tc>
        <w:tc>
          <w:tcPr/>
          <w:p>
            <w:pPr>
              <w:pStyle w:val="Compact"/>
            </w:pPr>
            <w:r>
              <w:t xml:space="preserve">Stock enters at all-time highs (+16% YTD, ~2% off record) with insider selling and a rich multiple, so the bar is set for durable Tools/tool-storage recovery. A merely in-line EPS/revenue print with decelerating Tools organic growth and Pinchuk's habitual cautious technician-confidence framing ('not declaring victory') undercuts the priced-in 'green shoots keep flowering' narrative. Out-period math works against the stock: even on an EPS in-line, soft Tools organic + higher corporate expense drive modest downward estimate revisions, so an initial gap-down drifts further over 5 days rather than reversing.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2026-07-23T00:47:16Z</dcterms:created>
  <dcterms:modified xsi:type="dcterms:W3CDTF">2026-07-23T00:47:16Z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