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SNA (Snap-on Incorporated) to build an informed earnings preview. Let me gather recent transcripts, releases, news, and price data.I have the document list. Let me read the most recent earnings materials (Q1 2026 call and release) and the year-ago Q2 2025 call for context.I have strong detail on Q1 2026. Now let me pull the year-ago Q2 2025 release (the comp SNA will lap) and recent stock price data.I now have what I need. Let me write the preview.</w:t>
      </w:r>
    </w:p>
    <w:bookmarkStart w:id="21" w:name="snap-on-sna--q2-2026-earnings-preview"/>
    <w:p>
      <w:pPr>
        <w:pStyle w:val="Heading1"/>
      </w:pPr>
      <w:r>
        <w:t xml:space="preserve">Snap-on (SNA) — Q2 2026 Earnings Preview</w:t>
      </w:r>
    </w:p>
    <w:bookmarkStart w:id="9" w:name="X9c849b8999c857e695adfb83830f164c6b33c66"/>
    <w:p>
      <w:pPr>
        <w:pStyle w:val="Heading3"/>
      </w:pPr>
      <w:r>
        <w:t xml:space="preserve">Report expected before market open, Thursday, July 23, 2026 · Conference call 9:00 a.m. CT</w:t>
      </w:r>
    </w:p>
    <w:p>
      <w:r>
        <w:pict>
          <v:rect style="width:0;height:1.5pt" o:hralign="center" o:hrstd="t" o:hr="t"/>
        </w:pict>
      </w:r>
    </w:p>
    <w:bookmarkEnd w:id="9"/>
    <w:bookmarkStart w:id="10" w:name="the-setup-in-one-paragraph"/>
    <w:p>
      <w:pPr>
        <w:pStyle w:val="Heading2"/>
      </w:pPr>
      <w:r>
        <w:t xml:space="preserve">The setup in one paragraph</w:t>
      </w:r>
    </w:p>
    <w:p>
      <w:pPr>
        <w:pStyle w:val="FirstParagraph"/>
      </w:pPr>
      <w:r>
        <w:t xml:space="preserve">Snap-on heads into its Q2 print with rebuilding momentum and a stock at all-time highs. After a soft 2025 dominated by cautious technicians and trade turbulence, the company posted back-to-back organic growth quarters, capped by a Q1 2026 that management called "encouraging." Q1 2026 sales of $1,207.2 million rose 5.8% (3.4% organic), a first-quarter record and the company's second-highest quarterly sales ever, with EPS of $4.69, up $0.18 from 2025. The key question tomorrow: is the "early thaw" in the U.S. Tools Group — especially tool storage — a durable turn, or a one-quarter blip? Against that backdrop, expectations and the share price have both climbed.</w:t>
      </w:r>
    </w:p>
    <w:p>
      <w:r>
        <w:pict>
          <v:rect style="width:0;height:1.5pt" o:hralign="center" o:hrstd="t" o:hr="t"/>
        </w:pict>
      </w:r>
    </w:p>
    <w:bookmarkEnd w:id="10"/>
    <w:bookmarkStart w:id="11" w:name="price-action-into-the-print"/>
    <w:p>
      <w:pPr>
        <w:pStyle w:val="Heading2"/>
      </w:pPr>
      <w:r>
        <w:t xml:space="preserve">Price action into the print</w:t>
      </w:r>
    </w:p>
    <w:p>
      <w:pPr>
        <w:pStyle w:val="FirstParagraph"/>
      </w:pPr>
      <w:r>
        <w:t xml:space="preserve">SNA has been a strong performer this year and enters earnings near record territory, which raises the bar for a positive surprise.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Close</w:t>
            </w:r>
          </w:p>
        </w:tc>
      </w:tr>
      <w:tr>
        <w:tc>
          <w:tcPr/>
          <w:p>
            <w:pPr>
              <w:pStyle w:val="Compact"/>
            </w:pPr>
            <w:r>
              <w:t xml:space="preserve">Jan 2, 2026</w:t>
            </w:r>
          </w:p>
        </w:tc>
        <w:tc>
          <w:tcPr/>
          <w:p>
            <w:pPr>
              <w:pStyle w:val="Compact"/>
            </w:pPr>
            <w:r>
              <w:t xml:space="preserve">$350.95</w:t>
            </w:r>
          </w:p>
        </w:tc>
      </w:tr>
      <w:tr>
        <w:tc>
          <w:tcPr/>
          <w:p>
            <w:pPr>
              <w:pStyle w:val="Compact"/>
            </w:pPr>
            <w:r>
              <w:t xml:space="preserve">Apr 23, 2026 (last print)</w:t>
            </w:r>
          </w:p>
        </w:tc>
        <w:tc>
          <w:tcPr/>
          <w:p>
            <w:pPr>
              <w:pStyle w:val="Compact"/>
            </w:pPr>
            <w:r>
              <w:t xml:space="preserve">$390.75</w:t>
            </w:r>
          </w:p>
        </w:tc>
      </w:tr>
      <w:tr>
        <w:tc>
          <w:tcPr/>
          <w:p>
            <w:pPr>
              <w:pStyle w:val="Compact"/>
            </w:pPr>
            <w:r>
              <w:t xml:space="preserve">Jul 16, 2026 (recent high)</w:t>
            </w:r>
          </w:p>
        </w:tc>
        <w:tc>
          <w:tcPr/>
          <w:p>
            <w:pPr>
              <w:pStyle w:val="Compact"/>
            </w:pPr>
            <w:r>
              <w:t xml:space="preserve">$414.97</w:t>
            </w:r>
          </w:p>
        </w:tc>
      </w:tr>
      <w:tr>
        <w:tc>
          <w:tcPr/>
          <w:p>
            <w:pPr>
              <w:pStyle w:val="Compact"/>
            </w:pPr>
            <w:r>
              <w:t xml:space="preserve">Jul 22, 2026 (latest)</w:t>
            </w:r>
          </w:p>
        </w:tc>
        <w:tc>
          <w:tcPr/>
          <w:p>
            <w:pPr>
              <w:pStyle w:val="Compact"/>
            </w:pPr>
            <w:r>
              <w:t xml:space="preserve">$406.21</w:t>
            </w:r>
          </w:p>
        </w:tc>
      </w:tr>
    </w:tbl>
    <w:p>
      <w:pPr>
        <w:pStyle w:val="Compact"/>
        <w:numPr>
          <w:ilvl w:val="0"/>
          <w:numId w:val="1001"/>
        </w:numPr>
      </w:pPr>
      <w:r>
        <w:rPr>
          <w:b/>
          <w:bCs/>
        </w:rPr>
        <w:t xml:space="preserve">~+16% YTD</w:t>
      </w:r>
      <w:r>
        <w:t xml:space="preserve">, with most of the gain coming since early June.</w:t>
      </w:r>
    </w:p>
    <w:p>
      <w:pPr>
        <w:pStyle w:val="Compact"/>
        <w:numPr>
          <w:ilvl w:val="0"/>
          <w:numId w:val="1001"/>
        </w:numPr>
      </w:pPr>
      <w:r>
        <w:t xml:space="preserve">Trading roughly</w:t>
      </w:r>
      <w:r>
        <w:t xml:space="preserve"> </w:t>
      </w:r>
      <w:r>
        <w:rPr>
          <w:b/>
          <w:bCs/>
        </w:rPr>
        <w:t xml:space="preserve">2% below its recent all-time high</w:t>
      </w:r>
      <w:r>
        <w:t xml:space="preserve"> </w:t>
      </w:r>
      <w:r>
        <w:t xml:space="preserve">— a rich setup where a "green shoots continue" narrative is arguably priced in.</w:t>
      </w:r>
    </w:p>
    <w:p>
      <w:pPr>
        <w:pStyle w:val="Compact"/>
        <w:numPr>
          <w:ilvl w:val="0"/>
          <w:numId w:val="1001"/>
        </w:numPr>
      </w:pPr>
      <w:r>
        <w:t xml:space="preserve">Note: a Sr. VP (Tim Chambers, President–Tools) filed to sell shares in mid-July under a pre-planned arrangement — routine, but worth flagging given the group's importance to the thesis.</w:t>
      </w:r>
    </w:p>
    <w:p>
      <w:r>
        <w:pict>
          <v:rect style="width:0;height:1.5pt" o:hralign="center" o:hrstd="t" o:hr="t"/>
        </w:pict>
      </w:r>
    </w:p>
    <w:bookmarkEnd w:id="11"/>
    <w:bookmarkStart w:id="12" w:name="the-comp-to-beat-q2-2025"/>
    <w:p>
      <w:pPr>
        <w:pStyle w:val="Heading2"/>
      </w:pPr>
      <w:r>
        <w:t xml:space="preserve">The comp to beat (Q2 2025)</w:t>
      </w:r>
    </w:p>
    <w:p>
      <w:pPr>
        <w:pStyle w:val="FirstParagraph"/>
      </w:pPr>
      <w:r>
        <w:t xml:space="preserve">This is a clean comparison — no one-time items in the year-ago quarter (the legal benefit was in Q2</w:t>
      </w:r>
      <w:r>
        <w:t xml:space="preserve"> </w:t>
      </w:r>
      <w:r>
        <w:rPr>
          <w:b/>
          <w:bCs/>
        </w:rPr>
        <w:t xml:space="preserve">2024</w:t>
      </w:r>
      <w:r>
        <w:t xml:space="preserve">, and the separate $0.31 RS&amp;I legal settlement was in Q3</w:t>
      </w:r>
      <w:r>
        <w:t xml:space="preserve"> </w:t>
      </w:r>
      <w:r>
        <w:rPr>
          <w:b/>
          <w:bCs/>
        </w:rPr>
        <w:t xml:space="preserve">2025</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(Q2 2025)</w:t>
            </w:r>
          </w:p>
        </w:tc>
        <w:tc>
          <w:tcPr/>
          <w:p>
            <w:pPr>
              <w:pStyle w:val="Compact"/>
            </w:pPr>
            <w:r>
              <w:t xml:space="preserve">Value</w:t>
            </w:r>
          </w:p>
        </w:tc>
      </w:tr>
      <w:tr>
        <w:tc>
          <w:tcPr/>
          <w:p>
            <w:pPr>
              <w:pStyle w:val="Compact"/>
            </w:pPr>
            <w:r>
              <w:t xml:space="preserve">Net sales</w:t>
            </w:r>
          </w:p>
        </w:tc>
        <w:tc>
          <w:tcPr/>
          <w:p>
            <w:pPr>
              <w:pStyle w:val="Compact"/>
            </w:pPr>
            <w:r>
              <w:t xml:space="preserve">$1,179.4M (flat YoY, organic −0.7%)</w:t>
            </w:r>
          </w:p>
        </w:tc>
      </w:tr>
      <w:tr>
        <w:tc>
          <w:tcPr/>
          <w:p>
            <w:pPr>
              <w:pStyle w:val="Compact"/>
            </w:pPr>
            <w:r>
              <w:t xml:space="preserve">Diluted EPS</w:t>
            </w:r>
          </w:p>
        </w:tc>
        <w:tc>
          <w:tcPr/>
          <w:p>
            <w:pPr>
              <w:pStyle w:val="Compact"/>
            </w:pPr>
            <w:r>
              <w:t xml:space="preserve">$4.72</w:t>
            </w:r>
          </w:p>
        </w:tc>
      </w:tr>
      <w:tr>
        <w:tc>
          <w:tcPr/>
          <w:p>
            <w:pPr>
              <w:pStyle w:val="Compact"/>
            </w:pPr>
            <w:r>
              <w:t xml:space="preserve">Gross margin</w:t>
            </w:r>
          </w:p>
        </w:tc>
        <w:tc>
          <w:tcPr/>
          <w:p>
            <w:pPr>
              <w:pStyle w:val="Compact"/>
            </w:pPr>
            <w:r>
              <w:t xml:space="preserve">50.5%</w:t>
            </w:r>
          </w:p>
        </w:tc>
      </w:tr>
      <w:tr>
        <w:tc>
          <w:tcPr/>
          <w:p>
            <w:pPr>
              <w:pStyle w:val="Compact"/>
            </w:pPr>
            <w:r>
              <w:t xml:space="preserve">OpCo operating margin</w:t>
            </w:r>
          </w:p>
        </w:tc>
        <w:tc>
          <w:tcPr/>
          <w:p>
            <w:pPr>
              <w:pStyle w:val="Compact"/>
            </w:pPr>
            <w:r>
              <w:t xml:space="preserve">22.0%</w:t>
            </w:r>
          </w:p>
        </w:tc>
      </w:tr>
      <w:tr>
        <w:tc>
          <w:tcPr/>
          <w:p>
            <w:pPr>
              <w:pStyle w:val="Compact"/>
            </w:pPr>
            <w:r>
              <w:t xml:space="preserve">C&amp;I sales / organic / OI margin</w:t>
            </w:r>
          </w:p>
        </w:tc>
        <w:tc>
          <w:tcPr/>
          <w:p>
            <w:pPr>
              <w:pStyle w:val="Compact"/>
            </w:pPr>
            <w:r>
              <w:t xml:space="preserve">$347.8M / −7.6% / 13.5%</w:t>
            </w:r>
          </w:p>
        </w:tc>
      </w:tr>
      <w:tr>
        <w:tc>
          <w:tcPr/>
          <w:p>
            <w:pPr>
              <w:pStyle w:val="Compact"/>
            </w:pPr>
            <w:r>
              <w:t xml:space="preserve">Tools sales / organic / OI margin</w:t>
            </w:r>
          </w:p>
        </w:tc>
        <w:tc>
          <w:tcPr/>
          <w:p>
            <w:pPr>
              <w:pStyle w:val="Compact"/>
            </w:pPr>
            <w:r>
              <w:t xml:space="preserve">$491.0M / +1.6% / 23.8%</w:t>
            </w:r>
          </w:p>
        </w:tc>
      </w:tr>
      <w:tr>
        <w:tc>
          <w:tcPr/>
          <w:p>
            <w:pPr>
              <w:pStyle w:val="Compact"/>
            </w:pPr>
            <w:r>
              <w:t xml:space="preserve">RS&amp;I sales / organic / OI margin</w:t>
            </w:r>
          </w:p>
        </w:tc>
        <w:tc>
          <w:tcPr/>
          <w:p>
            <w:pPr>
              <w:pStyle w:val="Compact"/>
            </w:pPr>
            <w:r>
              <w:t xml:space="preserve">$468.6M / +2.3% / 25.6%</w:t>
            </w:r>
          </w:p>
        </w:tc>
      </w:tr>
      <w:tr>
        <w:tc>
          <w:tcPr/>
          <w:p>
            <w:pPr>
              <w:pStyle w:val="Compact"/>
            </w:pPr>
            <w:r>
              <w:t xml:space="preserve">Financial Services op. earnings</w:t>
            </w:r>
          </w:p>
        </w:tc>
        <w:tc>
          <w:tcPr/>
          <w:p>
            <w:pPr>
              <w:pStyle w:val="Compact"/>
            </w:pPr>
            <w:r>
              <w:t xml:space="preserve">$68.2M</w:t>
            </w:r>
          </w:p>
        </w:tc>
      </w:tr>
      <w:tr>
        <w:tc>
          <w:tcPr/>
          <w:p>
            <w:pPr>
              <w:pStyle w:val="Compact"/>
            </w:pPr>
            <w:r>
              <w:t xml:space="preserve">Originations</w:t>
            </w:r>
          </w:p>
        </w:tc>
        <w:tc>
          <w:tcPr/>
          <w:p>
            <w:pPr>
              <w:pStyle w:val="Compact"/>
            </w:pPr>
            <w:r>
              <w:t xml:space="preserve">$293.0M</w:t>
            </w:r>
          </w:p>
        </w:tc>
      </w:tr>
    </w:tbl>
    <w:p>
      <w:pPr>
        <w:pStyle w:val="BodyText"/>
      </w:pPr>
      <w:r>
        <w:t xml:space="preserve">In Q2 2025, net sales of $1,179.4 million were unchanged from 2024, and net earnings were $250.3 million, or $4.72 per diluted share, down from $5.07 a year earlier, which had included a $0.16 legal benefit. Because Q2 2025 was itself a soft, roughly flat quarter, the year-over-year comparison Snap-on laps tomorrow is undemanding — a tailwind for reported growth if the current organic momentum held.</w:t>
      </w:r>
    </w:p>
    <w:p>
      <w:r>
        <w:pict>
          <v:rect style="width:0;height:1.5pt" o:hralign="center" o:hrstd="t" o:hr="t"/>
        </w:pict>
      </w:r>
    </w:p>
    <w:bookmarkEnd w:id="12"/>
    <w:bookmarkStart w:id="16" w:name="what-to-watch-by-segment"/>
    <w:p>
      <w:pPr>
        <w:pStyle w:val="Heading2"/>
      </w:pPr>
      <w:r>
        <w:t xml:space="preserve">What to watch, by segment</w:t>
      </w:r>
    </w:p>
    <w:bookmarkStart w:id="13" w:name="X14ce3e777f07cbb65938f99481ed4a50bc9da20"/>
    <w:p>
      <w:pPr>
        <w:pStyle w:val="Heading3"/>
      </w:pPr>
      <w:r>
        <w:t xml:space="preserve">1) Snap-on Tools Group — the swing factor</w:t>
      </w:r>
    </w:p>
    <w:p>
      <w:pPr>
        <w:pStyle w:val="FirstParagraph"/>
      </w:pPr>
      <w:r>
        <w:t xml:space="preserve">This is where the thesis lives. Q1 2026 Tools sales were $486.0 million, up 3.4% organically, with operating earnings of $105.0 million and an operating margin of 21.6%, up 160 basis points from 20.0% a year ago. Gross margin expanded a striking 140 bps to 47.7%.</w:t>
      </w:r>
    </w:p>
    <w:p>
      <w:pPr>
        <w:pStyle w:val="BodyText"/>
      </w:pPr>
      <w:r>
        <w:t xml:space="preserve">The most important development was tool storage. Management flagged "green shoots," noting that tool storage was up — a category that had been dead — helped by lower-entry-point items and a commemorative "Tribute to America" box that overcame big-ticket reticence. Watch for:</w:t>
      </w:r>
    </w:p>
    <w:p>
      <w:pPr>
        <w:pStyle w:val="Compact"/>
        <w:numPr>
          <w:ilvl w:val="0"/>
          <w:numId w:val="1002"/>
        </w:numPr>
      </w:pPr>
      <w:r>
        <w:rPr>
          <w:b/>
          <w:bCs/>
        </w:rPr>
        <w:t xml:space="preserve">Does tool storage growth persist</w:t>
      </w:r>
      <w:r>
        <w:t xml:space="preserve"> </w:t>
      </w:r>
      <w:r>
        <w:t xml:space="preserve">beyond the launch-driven Q1 pop? Pinchuk was deliberately cautious — "a quarter, who knows what a quarter means... I'm not here to declare victory."</w:t>
      </w:r>
    </w:p>
    <w:p>
      <w:pPr>
        <w:pStyle w:val="Compact"/>
        <w:numPr>
          <w:ilvl w:val="0"/>
          <w:numId w:val="1002"/>
        </w:numPr>
      </w:pPr>
      <w:r>
        <w:rPr>
          <w:b/>
          <w:bCs/>
        </w:rPr>
        <w:t xml:space="preserve">Diagnostics</w:t>
      </w:r>
      <w:r>
        <w:t xml:space="preserve">, which was the soft spot last quarter — hand tools and power tools were up, while diagnostics was "tepid" and challenged against difficult year-ago comparisons.</w:t>
      </w:r>
    </w:p>
    <w:p>
      <w:pPr>
        <w:pStyle w:val="Compact"/>
        <w:numPr>
          <w:ilvl w:val="0"/>
          <w:numId w:val="1002"/>
        </w:numPr>
      </w:pPr>
      <w:r>
        <w:rPr>
          <w:b/>
          <w:bCs/>
        </w:rPr>
        <w:t xml:space="preserve">Franchisee tone / sell-through vs. sell-in</w:t>
      </w:r>
      <w:r>
        <w:t xml:space="preserve"> </w:t>
      </w:r>
      <w:r>
        <w:t xml:space="preserve">and Financial Services originations as a real-time demand tell.</w:t>
      </w:r>
    </w:p>
    <w:p>
      <w:pPr>
        <w:pStyle w:val="Compact"/>
        <w:numPr>
          <w:ilvl w:val="0"/>
          <w:numId w:val="1002"/>
        </w:numPr>
      </w:pPr>
      <w:r>
        <w:rPr>
          <w:b/>
          <w:bCs/>
        </w:rPr>
        <w:t xml:space="preserve">Margin durability</w:t>
      </w:r>
      <w:r>
        <w:t xml:space="preserve"> </w:t>
      </w:r>
      <w:r>
        <w:t xml:space="preserve">at ~21%+ given the tough tariff/material-cost environment.</w:t>
      </w:r>
    </w:p>
    <w:bookmarkEnd w:id="13"/>
    <w:bookmarkStart w:id="14" w:name="X25824368f0b4e1c72c398f5ea4df1cf9ead3bc9"/>
    <w:p>
      <w:pPr>
        <w:pStyle w:val="Heading3"/>
      </w:pPr>
      <w:r>
        <w:t xml:space="preserve">2) Commercial &amp; Industrial (C&amp;I) — the growth engine right now</w:t>
      </w:r>
    </w:p>
    <w:p>
      <w:pPr>
        <w:pStyle w:val="FirstParagraph"/>
      </w:pPr>
      <w:r>
        <w:t xml:space="preserve">Q1 C&amp;I sales rose 10.8% (7.1% organic) with gains in every operation, led by high-single-digit growth in critical industries and strength in specialty torque; operating earnings were $54.9 million at a 14.4% margin, down 110 bps on tariffs, material costs and 50 bps of currency. Key items:</w:t>
      </w:r>
    </w:p>
    <w:p>
      <w:pPr>
        <w:pStyle w:val="Compact"/>
        <w:numPr>
          <w:ilvl w:val="0"/>
          <w:numId w:val="1003"/>
        </w:numPr>
      </w:pPr>
      <w:r>
        <w:rPr>
          <w:b/>
          <w:bCs/>
        </w:rPr>
        <w:t xml:space="preserve">Critical industries breadth</w:t>
      </w:r>
      <w:r>
        <w:t xml:space="preserve"> </w:t>
      </w:r>
      <w:r>
        <w:t xml:space="preserve">— aviation was described as up strong double digits, with heavy-duty and natural resources also strong. Management expects the military to improve going forward, and notably the strong quarter came without military help, which had been down double digits in 2024 and flat recently.</w:t>
      </w:r>
    </w:p>
    <w:p>
      <w:pPr>
        <w:pStyle w:val="Compact"/>
        <w:numPr>
          <w:ilvl w:val="0"/>
          <w:numId w:val="1003"/>
        </w:numPr>
      </w:pPr>
      <w:r>
        <w:rPr>
          <w:b/>
          <w:bCs/>
        </w:rPr>
        <w:t xml:space="preserve">C&amp;I margin recovery</w:t>
      </w:r>
      <w:r>
        <w:t xml:space="preserve"> </w:t>
      </w:r>
      <w:r>
        <w:t xml:space="preserve">— the segment absorbs the most tariff/material-cost pressure, so margin is the thing to watch even as the top line runs hot.</w:t>
      </w:r>
    </w:p>
    <w:p>
      <w:pPr>
        <w:pStyle w:val="Compact"/>
        <w:numPr>
          <w:ilvl w:val="0"/>
          <w:numId w:val="1003"/>
        </w:numPr>
      </w:pPr>
      <w:r>
        <w:rPr>
          <w:b/>
          <w:bCs/>
        </w:rPr>
        <w:t xml:space="preserve">New verticals</w:t>
      </w:r>
      <w:r>
        <w:t xml:space="preserve"> </w:t>
      </w:r>
      <w:r>
        <w:t xml:space="preserve">— data-center construction toolkits are an emerging demand source.</w:t>
      </w:r>
    </w:p>
    <w:bookmarkEnd w:id="14"/>
    <w:bookmarkStart w:id="15" w:name="Xdae898505a3c7fe0dac81769ae4c57d38c4ef43"/>
    <w:p>
      <w:pPr>
        <w:pStyle w:val="Heading3"/>
      </w:pPr>
      <w:r>
        <w:t xml:space="preserve">3) Repair Systems &amp; Information (RS&amp;I) — the "flat spot"</w:t>
      </w:r>
    </w:p>
    <w:p>
      <w:pPr>
        <w:pStyle w:val="FirstParagraph"/>
      </w:pPr>
      <w:r>
        <w:t xml:space="preserve">Q1 RS&amp;I sales of $485.3 million rose 2% (mostly currency), a record for the group, as gains with independent shops were offset by lower OEM dealership activity; operating earnings fell to $119.5 million at a 24.6% margin. The soft OEM programs / EQS equipment business is the item to watch here — plus whether ongoing software/large-language-model investments continue to pressure the margin near-term.</w:t>
      </w:r>
    </w:p>
    <w:p>
      <w:r>
        <w:pict>
          <v:rect style="width:0;height:1.5pt" o:hralign="center" o:hrstd="t" o:hr="t"/>
        </w:pict>
      </w:r>
    </w:p>
    <w:bookmarkEnd w:id="15"/>
    <w:bookmarkEnd w:id="16"/>
    <w:bookmarkStart w:id="17" w:name="Xa33294f386973377bf378a5d410011b0c902054"/>
    <w:p>
      <w:pPr>
        <w:pStyle w:val="Heading2"/>
      </w:pPr>
      <w:r>
        <w:t xml:space="preserve">Margins, tariffs and currency — the profitability story</w:t>
      </w:r>
    </w:p>
    <w:p>
      <w:pPr>
        <w:pStyle w:val="FirstParagraph"/>
      </w:pPr>
      <w:r>
        <w:t xml:space="preserve">Snap-on's differentiator is that it largely manufactures where it sells, so it's relatively insulated on tariffs, but not immune. Consolidated Q1 gross margin was 50.4% vs. 50.7%, with the 30-bp decline mainly from 40 bps of unfavorable currency; RCI savings and volume were largely offset by higher tariffs and material costs. Two dynamics to track:</w:t>
      </w:r>
    </w:p>
    <w:p>
      <w:pPr>
        <w:pStyle w:val="Compact"/>
        <w:numPr>
          <w:ilvl w:val="0"/>
          <w:numId w:val="1004"/>
        </w:numPr>
      </w:pPr>
      <w:r>
        <w:rPr>
          <w:b/>
          <w:bCs/>
        </w:rPr>
        <w:t xml:space="preserve">Tariffs</w:t>
      </w:r>
      <w:r>
        <w:t xml:space="preserve">: management does not expect much change going forward and is filing for potential refunds mainly to preserve rights, not counting on cash. Aldo Pagliari emphasized tariffs are not as significant to Snap-on as to many peers, and the refund filings are a protective strategy so rights don't expire unchallenged.</w:t>
      </w:r>
    </w:p>
    <w:p>
      <w:pPr>
        <w:pStyle w:val="Compact"/>
        <w:numPr>
          <w:ilvl w:val="0"/>
          <w:numId w:val="1004"/>
        </w:numPr>
      </w:pPr>
      <w:r>
        <w:rPr>
          <w:b/>
          <w:bCs/>
        </w:rPr>
        <w:t xml:space="preserve">Currency</w:t>
      </w:r>
      <w:r>
        <w:t xml:space="preserve">: a genuine oddity worth remembering — in Q1, currency was $0.02 positive to EPS but negative to margins, adding a lot of sales and almost no profit.</w:t>
      </w:r>
    </w:p>
    <w:p>
      <w:r>
        <w:pict>
          <v:rect style="width:0;height:1.5pt" o:hralign="center" o:hrstd="t" o:hr="t"/>
        </w:pict>
      </w:r>
    </w:p>
    <w:bookmarkEnd w:id="17"/>
    <w:bookmarkStart w:id="18" w:name="X7fcf9ee36283a77973a837accf63da7dde840b7"/>
    <w:p>
      <w:pPr>
        <w:pStyle w:val="Heading2"/>
      </w:pPr>
      <w:r>
        <w:t xml:space="preserve">Modeling anchors from management guidance</w:t>
      </w:r>
    </w:p>
    <w:p>
      <w:pPr>
        <w:pStyle w:val="FirstParagraph"/>
      </w:pPr>
      <w:r>
        <w:t xml:space="preserve">For your Q2 build, management's outlook commentary implies:</w:t>
      </w:r>
    </w:p>
    <w:p>
      <w:pPr>
        <w:pStyle w:val="Compact"/>
        <w:numPr>
          <w:ilvl w:val="0"/>
          <w:numId w:val="1005"/>
        </w:numPr>
      </w:pPr>
      <w:r>
        <w:rPr>
          <w:b/>
          <w:bCs/>
        </w:rPr>
        <w:t xml:space="preserve">Corporate expense</w:t>
      </w:r>
      <w:r>
        <w:t xml:space="preserve"> </w:t>
      </w:r>
      <w:r>
        <w:t xml:space="preserve">~</w:t>
      </w:r>
      <m:oMath>
        <m:r>
          <m:t>28</m:t>
        </m:r>
        <m:r>
          <m:t>M</m:t>
        </m:r>
        <m:r>
          <m:t>f</m:t>
        </m:r>
        <m:r>
          <m:t>o</m:t>
        </m:r>
        <m:r>
          <m:t>r</m:t>
        </m:r>
        <m:r>
          <m:t>t</m:t>
        </m:r>
        <m:r>
          <m:t>h</m:t>
        </m:r>
        <m:r>
          <m:t>e</m:t>
        </m:r>
        <m:r>
          <m:t>q</m:t>
        </m:r>
        <m:r>
          <m:t>u</m:t>
        </m:r>
        <m:r>
          <m:t>a</m:t>
        </m:r>
        <m:r>
          <m:t>r</m:t>
        </m:r>
        <m:r>
          <m:t>t</m:t>
        </m:r>
        <m:r>
          <m:t>e</m:t>
        </m:r>
        <m:r>
          <m:t>r</m:t>
        </m:r>
        <m:r>
          <m:rPr>
            <m:sty m:val="p"/>
          </m:rPr>
          <m:t>(</m:t>
        </m:r>
        <m:r>
          <m:t>g</m:t>
        </m:r>
        <m:r>
          <m:t>u</m:t>
        </m:r>
        <m:r>
          <m:t>i</m:t>
        </m:r>
        <m:r>
          <m:t>d</m:t>
        </m:r>
        <m:r>
          <m:t>e</m:t>
        </m:r>
        <m:r>
          <m:t>d</m:t>
        </m:r>
        <m:r>
          <m:t>t</m:t>
        </m:r>
        <m:r>
          <m:t>o</m:t>
        </m:r>
        <m:r>
          <m:t> </m:t>
        </m:r>
      </m:oMath>
      <w:r>
        <w:t xml:space="preserve">28M/quarter for 2026; note Q2 2025 was</w:t>
      </w:r>
      <w:r>
        <w:t xml:space="preserve"> </w:t>
      </w:r>
      <m:oMath>
        <m:r>
          <m:t>24.3</m:t>
        </m:r>
        <m:r>
          <m:t>M</m:t>
        </m:r>
        <m:r>
          <m:rPr>
            <m:sty m:val="p"/>
          </m:rPr>
          <m:t>,</m:t>
        </m:r>
        <m:r>
          <m:t>s</m:t>
        </m:r>
        <m:r>
          <m:t>o</m:t>
        </m:r>
        <m:r>
          <m:t>t</m:t>
        </m:r>
        <m:r>
          <m:t>h</m:t>
        </m:r>
        <m:r>
          <m:t>i</m:t>
        </m:r>
        <m:r>
          <m:t>s</m:t>
        </m:r>
        <m:r>
          <m:t>i</m:t>
        </m:r>
        <m:r>
          <m:t>s</m:t>
        </m:r>
        <m:r>
          <m:t>a</m:t>
        </m:r>
        <m:r>
          <m:t> </m:t>
        </m:r>
      </m:oMath>
      <w:r>
        <w:t xml:space="preserve">4M YoY headwind).</w:t>
      </w:r>
    </w:p>
    <w:p>
      <w:pPr>
        <w:pStyle w:val="Compact"/>
        <w:numPr>
          <w:ilvl w:val="0"/>
          <w:numId w:val="1005"/>
        </w:numPr>
      </w:pPr>
      <w:r>
        <w:rPr>
          <w:b/>
          <w:bCs/>
        </w:rPr>
        <w:t xml:space="preserve">Full-year effective tax rate</w:t>
      </w:r>
      <w:r>
        <w:t xml:space="preserve"> </w:t>
      </w:r>
      <w:r>
        <w:t xml:space="preserve">22%–23%.</w:t>
      </w:r>
    </w:p>
    <w:p>
      <w:pPr>
        <w:pStyle w:val="Compact"/>
        <w:numPr>
          <w:ilvl w:val="0"/>
          <w:numId w:val="1005"/>
        </w:numPr>
      </w:pPr>
      <w:r>
        <w:rPr>
          <w:b/>
          <w:bCs/>
        </w:rPr>
        <w:t xml:space="preserve">CapEx</w:t>
      </w:r>
      <w:r>
        <w:t xml:space="preserve"> </w:t>
      </w:r>
      <w:r>
        <w:t xml:space="preserve">~$100M for the year.</w:t>
      </w:r>
    </w:p>
    <w:p>
      <w:pPr>
        <w:pStyle w:val="Compact"/>
        <w:numPr>
          <w:ilvl w:val="0"/>
          <w:numId w:val="1005"/>
        </w:numPr>
      </w:pPr>
      <w:r>
        <w:t xml:space="preserve">Remember the RS&amp;I legal settlement created a</w:t>
      </w:r>
      <w:r>
        <w:t xml:space="preserve"> </w:t>
      </w:r>
      <w:r>
        <w:rPr>
          <w:b/>
          <w:bCs/>
        </w:rPr>
        <w:t xml:space="preserve">$0.31 one-time benefit in Q3 2025</w:t>
      </w:r>
      <w:r>
        <w:t xml:space="preserve">, not Q2 — so no distortion to tomorrow's comp, but keep it in mind for the Q3 setup.</w:t>
      </w:r>
    </w:p>
    <w:p>
      <w:r>
        <w:pict>
          <v:rect style="width:0;height:1.5pt" o:hralign="center" o:hrstd="t" o:hr="t"/>
        </w:pict>
      </w:r>
    </w:p>
    <w:bookmarkEnd w:id="18"/>
    <w:bookmarkStart w:id="19" w:name="balance-sheet--capital-return"/>
    <w:p>
      <w:pPr>
        <w:pStyle w:val="Heading2"/>
      </w:pPr>
      <w:r>
        <w:t xml:space="preserve">Balance sheet / capital return</w:t>
      </w:r>
    </w:p>
    <w:p>
      <w:pPr>
        <w:pStyle w:val="FirstParagraph"/>
      </w:pPr>
      <w:r>
        <w:t xml:space="preserve">The company remains a cash machine. Q1 operating cash flow was $368.7 million (145% of net earnings), and it paid $126.8 million in dividends and repurchased $99.9 million of stock, leaving $234.1 million of buyback authorization. Q1 delinquencies improved — the U.S. 60-day+ rate of 1.9% was down 10 bps YoY and 20 bps sequentially, with trailing-12-month net losses of 3.75% of outstandings — described as relatively balanced. Credit quality and originations will again be a useful read on grassroots technician health.</w:t>
      </w:r>
    </w:p>
    <w:p>
      <w:r>
        <w:pict>
          <v:rect style="width:0;height:1.5pt" o:hralign="center" o:hrstd="t" o:hr="t"/>
        </w:pict>
      </w:r>
    </w:p>
    <w:bookmarkEnd w:id="19"/>
    <w:bookmarkStart w:id="20" w:name="X5dc41f31cef7cda5f3dfb72e258127a7226f616"/>
    <w:p>
      <w:pPr>
        <w:pStyle w:val="Heading2"/>
      </w:pPr>
      <w:r>
        <w:t xml:space="preserve">Bottom line — the investor scorecard for tomorrow</w:t>
      </w:r>
    </w:p>
    <w:p>
      <w:pPr>
        <w:pStyle w:val="FirstParagraph"/>
      </w:pPr>
      <w:r>
        <w:rPr>
          <w:b/>
          <w:bCs/>
        </w:rPr>
        <w:t xml:space="preserve">Bull case confirmation would show:</w:t>
      </w:r>
    </w:p>
    <w:p>
      <w:pPr>
        <w:pStyle w:val="Compact"/>
        <w:numPr>
          <w:ilvl w:val="0"/>
          <w:numId w:val="1006"/>
        </w:numPr>
      </w:pPr>
      <w:r>
        <w:t xml:space="preserve">A third straight organic-growth quarter with</w:t>
      </w:r>
      <w:r>
        <w:t xml:space="preserve"> </w:t>
      </w:r>
      <w:r>
        <w:rPr>
          <w:b/>
          <w:bCs/>
        </w:rPr>
        <w:t xml:space="preserve">Tools organic growth positive</w:t>
      </w:r>
      <w:r>
        <w:t xml:space="preserve"> </w:t>
      </w:r>
      <w:r>
        <w:t xml:space="preserve">and</w:t>
      </w:r>
      <w:r>
        <w:t xml:space="preserve"> </w:t>
      </w:r>
      <w:r>
        <w:rPr>
          <w:b/>
          <w:bCs/>
        </w:rPr>
        <w:t xml:space="preserve">tool storage still up</w:t>
      </w:r>
      <w:r>
        <w:t xml:space="preserve"> </w:t>
      </w:r>
      <w:r>
        <w:t xml:space="preserve">— proof the thaw is real, not a promo-driven blip.</w:t>
      </w:r>
    </w:p>
    <w:p>
      <w:pPr>
        <w:pStyle w:val="Compact"/>
        <w:numPr>
          <w:ilvl w:val="0"/>
          <w:numId w:val="1006"/>
        </w:numPr>
      </w:pPr>
      <w:r>
        <w:rPr>
          <w:b/>
          <w:bCs/>
        </w:rPr>
        <w:t xml:space="preserve">C&amp;I critical-industries strength broadening</w:t>
      </w:r>
      <w:r>
        <w:t xml:space="preserve"> </w:t>
      </w:r>
      <w:r>
        <w:t xml:space="preserve">(aviation/heavy-duty/natural resources) with early signs of military recovery.</w:t>
      </w:r>
    </w:p>
    <w:p>
      <w:pPr>
        <w:pStyle w:val="Compact"/>
        <w:numPr>
          <w:ilvl w:val="0"/>
          <w:numId w:val="1006"/>
        </w:numPr>
      </w:pPr>
      <w:r>
        <w:rPr>
          <w:b/>
          <w:bCs/>
        </w:rPr>
        <w:t xml:space="preserve">Gross margin holding ~50%+</w:t>
      </w:r>
      <w:r>
        <w:t xml:space="preserve"> </w:t>
      </w:r>
      <w:r>
        <w:t xml:space="preserve">and Tools OI margin defended in the low-20s despite tariff/material costs.</w:t>
      </w:r>
    </w:p>
    <w:p>
      <w:pPr>
        <w:pStyle w:val="Compact"/>
        <w:numPr>
          <w:ilvl w:val="0"/>
          <w:numId w:val="1006"/>
        </w:numPr>
      </w:pPr>
      <w:r>
        <w:t xml:space="preserve">EPS above the $4.72 year-ago mark.</w:t>
      </w:r>
    </w:p>
    <w:p>
      <w:pPr>
        <w:pStyle w:val="FirstParagraph"/>
      </w:pPr>
      <w:r>
        <w:rPr>
          <w:b/>
          <w:bCs/>
        </w:rPr>
        <w:t xml:space="preserve">Watch-outs that could disappoint a richly-valued stock:</w:t>
      </w:r>
    </w:p>
    <w:p>
      <w:pPr>
        <w:pStyle w:val="Compact"/>
        <w:numPr>
          <w:ilvl w:val="0"/>
          <w:numId w:val="1007"/>
        </w:numPr>
      </w:pPr>
      <w:r>
        <w:t xml:space="preserve">Tool storage / diagnostics giving back Q1's gains (management itself refused to declare victory).</w:t>
      </w:r>
    </w:p>
    <w:p>
      <w:pPr>
        <w:pStyle w:val="Compact"/>
        <w:numPr>
          <w:ilvl w:val="0"/>
          <w:numId w:val="1007"/>
        </w:numPr>
      </w:pPr>
      <w:r>
        <w:t xml:space="preserve">Continued</w:t>
      </w:r>
      <w:r>
        <w:t xml:space="preserve"> </w:t>
      </w:r>
      <w:r>
        <w:rPr>
          <w:b/>
          <w:bCs/>
        </w:rPr>
        <w:t xml:space="preserve">RS&amp;I OEM softness</w:t>
      </w:r>
      <w:r>
        <w:t xml:space="preserve"> </w:t>
      </w:r>
      <w:r>
        <w:t xml:space="preserve">and margin drag from tech investment.</w:t>
      </w:r>
    </w:p>
    <w:p>
      <w:pPr>
        <w:pStyle w:val="Compact"/>
        <w:numPr>
          <w:ilvl w:val="0"/>
          <w:numId w:val="1007"/>
        </w:numPr>
      </w:pPr>
      <w:r>
        <w:rPr>
          <w:b/>
          <w:bCs/>
        </w:rPr>
        <w:t xml:space="preserve">C&amp;I margin</w:t>
      </w:r>
      <w:r>
        <w:t xml:space="preserve"> </w:t>
      </w:r>
      <w:r>
        <w:t xml:space="preserve">still pressured by tariffs and unfavorable currency transaction effects.</w:t>
      </w:r>
    </w:p>
    <w:p>
      <w:pPr>
        <w:pStyle w:val="Compact"/>
        <w:numPr>
          <w:ilvl w:val="0"/>
          <w:numId w:val="1007"/>
        </w:numPr>
      </w:pPr>
      <w:r>
        <w:t xml:space="preserve">Any cautious framing of technician confidence — the recurring theme that "the hits just keep on coming."</w:t>
      </w:r>
    </w:p>
    <w:p>
      <w:pPr>
        <w:pStyle w:val="FirstParagraph"/>
      </w:pPr>
      <w:r>
        <w:t xml:space="preserve">Given the ~16% YTD run into all-time highs, the setup favors a stock that needs the "green shoots" story to keep flowering; a merely-fine quarter with soft technician commentary could be sold, while confirmation of a durable Tools recovery is what would justify current levels.</w:t>
      </w:r>
    </w:p>
    <w:p>
      <w:pPr>
        <w:pStyle w:val="BodyText"/>
      </w:pPr>
      <w:r>
        <w:rPr>
          <w:i/>
          <w:iCs/>
        </w:rPr>
        <w:t xml:space="preserve">Note: This preview is based on Snap-on's own reported results and management commentary; it is not investment advice. I was not able to retrieve published sell-side consensus estimates from the available tools, so expectations here are framed against the year-ago comp and recent trajectory rather than a specific Street EPS number.</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2026-07-23T00:47:16Z</dcterms:created>
  <dcterms:modified xsi:type="dcterms:W3CDTF">2026-07-23T00:47:16Z</dcterms:modified>
</cp:coreProperties>
</file>

<file path=docProps/custom.xml><?xml version="1.0" encoding="utf-8"?>
<Properties xmlns="http://schemas.openxmlformats.org/officeDocument/2006/custom-properties" xmlns:vt="http://schemas.openxmlformats.org/officeDocument/2006/docPropsVTypes"/>
</file>