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b30136dab7c9d652e0ba7eb92e5d8007fb58b8f"/>
    <w:p>
      <w:pPr>
        <w:pStyle w:val="Heading1"/>
      </w:pPr>
      <w:r>
        <w:t xml:space="preserve">Snap-on Incorporated (NYSE: SNA) — Q2 2026 Earnings Preview</w:t>
      </w:r>
    </w:p>
    <w:p>
      <w:pPr>
        <w:pStyle w:val="FirstParagraph"/>
      </w:pPr>
      <w:r>
        <w:rPr>
          <w:b/>
          <w:bCs/>
        </w:rPr>
        <w:t xml:space="preserve">Report Date:</w:t>
      </w:r>
      <w:r>
        <w:t xml:space="preserve"> </w:t>
      </w:r>
      <w:r>
        <w:t xml:space="preserve">Thursday, July 23, 2026, before market open | Call at 10:00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Snap-on shares have been on a strong run heading into the quarter, trading around $406, near 52-week highs.Let me continue the write-up directly.</w:t>
      </w:r>
    </w:p>
    <w:bookmarkEnd w:id="9"/>
    <w:bookmarkStart w:id="10" w:name="setup-into-the-print-1"/>
    <w:p>
      <w:pPr>
        <w:pStyle w:val="Heading2"/>
      </w:pPr>
      <w:r>
        <w:t xml:space="preserve">Setup Into the Print</w:t>
      </w:r>
    </w:p>
    <w:p>
      <w:pPr>
        <w:pStyle w:val="FirstParagraph"/>
      </w:pPr>
      <w:r>
        <w:t xml:space="preserve">Snap-on shares have climbed from roughly $351 at the start of 2026 to around $406 heading into this report — a move that reflects both a broad industrial/tools rally and growing confidence that the technician-demand environment is stabilizing. SNA's shares have gained 6.2% in the past three months compared with the industry's 5.3% growth, and the stock is up 30.5% over the past year. Valuation has expanded to reflect that optimism: Snap-on has a forward 12-month price-to-earnings ratio of 19.86x compared with its five-year high of 20.38x and the Tools - Handheld industry's average of 19.65x — i.e., the stock is priced near the top of its historical range and at a premium to peers, leaving less room for disappointment.</w:t>
      </w:r>
    </w:p>
    <w:bookmarkEnd w:id="10"/>
    <w:bookmarkStart w:id="11" w:name="consensus-expectations-for-q2-2026"/>
    <w:p>
      <w:pPr>
        <w:pStyle w:val="Heading2"/>
      </w:pPr>
      <w:r>
        <w:t xml:space="preserve">Consensus Expectations for Q2 2026</w:t>
      </w:r>
    </w:p>
    <w:p>
      <w:pPr>
        <w:pStyle w:val="Compact"/>
        <w:numPr>
          <w:ilvl w:val="0"/>
          <w:numId w:val="1001"/>
        </w:numPr>
      </w:pPr>
      <w:r>
        <w:rPr>
          <w:b/>
          <w:bCs/>
        </w:rPr>
        <w:t xml:space="preserve">EPS:</w:t>
      </w:r>
      <w:r>
        <w:t xml:space="preserve"> </w:t>
      </w:r>
      <w:r>
        <w:t xml:space="preserve">Analysts forecast Snap-on to report an EPS of $4.90, up 3.8% from $4.72 in the year-ago quarter.</w:t>
      </w:r>
    </w:p>
    <w:p>
      <w:pPr>
        <w:pStyle w:val="Compact"/>
        <w:numPr>
          <w:ilvl w:val="0"/>
          <w:numId w:val="1001"/>
        </w:numPr>
      </w:pPr>
      <w:r>
        <w:rPr>
          <w:b/>
          <w:bCs/>
        </w:rPr>
        <w:t xml:space="preserve">Revenue:</w:t>
      </w:r>
      <w:r>
        <w:t xml:space="preserve"> </w:t>
      </w:r>
      <w:r>
        <w:t xml:space="preserve">The Zacks Consensus Estimate for revenues is $1.2 billion, which indicates a rise of 3.6% from the year-ago quarter's level.</w:t>
      </w:r>
    </w:p>
    <w:p>
      <w:pPr>
        <w:pStyle w:val="Compact"/>
        <w:numPr>
          <w:ilvl w:val="0"/>
          <w:numId w:val="1001"/>
        </w:numPr>
      </w:pPr>
      <w:r>
        <w:rPr>
          <w:b/>
          <w:bCs/>
        </w:rPr>
        <w:t xml:space="preserve">Track record:</w:t>
      </w:r>
      <w:r>
        <w:t xml:space="preserve"> </w:t>
      </w:r>
      <w:r>
        <w:t xml:space="preserve">Snap-on's beat/miss history is mixed lately — the company has a trailing four-quarter earnings surprise of 1.7% on average, and it delivered an earnings surprise of only 0.2% in the last reported quarter, and in Q1 2026 it actually</w:t>
      </w:r>
      <w:r>
        <w:t xml:space="preserve"> </w:t>
      </w:r>
      <w:r>
        <w:rPr>
          <w:b/>
          <w:bCs/>
        </w:rPr>
        <w:t xml:space="preserve">missed</w:t>
      </w:r>
      <w:r>
        <w:t xml:space="preserve"> </w:t>
      </w:r>
      <w:r>
        <w:t xml:space="preserve">the Street on EPS: the company reported $4.69 EPS for the quarter, missing analysts' consensus estimates of</w:t>
      </w:r>
      <w:r>
        <w:t xml:space="preserve"> </w:t>
      </w:r>
      <m:oMath>
        <m:r>
          <m:t>4.75</m:t>
        </m:r>
        <m:r>
          <m:t>b</m:t>
        </m:r>
        <m:r>
          <m:t>y</m:t>
        </m:r>
        <m:r>
          <m:rPr>
            <m:sty m:val="p"/>
          </m:rPr>
          <m:t>(</m:t>
        </m:r>
      </m:oMath>
      <w:r>
        <w:t xml:space="preserve">0.06), while revenue of $1.21 billion beat analyst estimates of $1.19 billion. Notably, estimates were volatile into this print — Zacks Research lowered its Q2 earnings estimate to $4.84 per share from $4.98 in mid-May, though the full-year consensus held at $19.75 EPS — before drifting back up toward $4.90 more recently.</w:t>
      </w:r>
    </w:p>
    <w:p>
      <w:pPr>
        <w:pStyle w:val="Compact"/>
        <w:numPr>
          <w:ilvl w:val="0"/>
          <w:numId w:val="1001"/>
        </w:numPr>
      </w:pPr>
      <w:r>
        <w:rPr>
          <w:b/>
          <w:bCs/>
        </w:rPr>
        <w:t xml:space="preserve">Segment-level consensus:</w:t>
      </w:r>
      <w:r>
        <w:t xml:space="preserve"> </w:t>
      </w:r>
      <w:r>
        <w:t xml:space="preserve">Analysts model Tools Group net sales of roughly</w:t>
      </w:r>
      <w:r>
        <w:t xml:space="preserve"> </w:t>
      </w:r>
      <m:oMath>
        <m:r>
          <m:t>504</m:t>
        </m:r>
        <m:r>
          <m:t>M</m:t>
        </m:r>
        <m:r>
          <m:rPr>
            <m:sty m:val="p"/>
          </m:rPr>
          <m:t>*</m:t>
        </m:r>
        <m:r>
          <m:rPr>
            <m:sty m:val="p"/>
          </m:rPr>
          <m:t>*</m:t>
        </m:r>
        <m:r>
          <m:rPr>
            <m:sty m:val="p"/>
          </m:rPr>
          <m:t>(</m:t>
        </m:r>
        <m:r>
          <m:rPr>
            <m:sty m:val="p"/>
          </m:rPr>
          <m:t>+</m:t>
        </m:r>
        <m:r>
          <m:t>2.7</m:t>
        </m:r>
      </m:oMath>
      <w:r>
        <w:rPr>
          <w:b/>
          <w:bCs/>
        </w:rPr>
        <w:t xml:space="preserve">367M</w:t>
      </w:r>
      <w:r>
        <w:t xml:space="preserve"> </w:t>
      </w:r>
      <w:r>
        <w:t xml:space="preserve">(+5.5% y/y), C&amp;I operating earnings of roughly</w:t>
      </w:r>
      <w:r>
        <w:t xml:space="preserve"> </w:t>
      </w:r>
      <w:r>
        <w:rPr>
          <w:b/>
          <w:bCs/>
        </w:rPr>
        <w:t xml:space="preserve">$56.5M</w:t>
      </w:r>
      <w:r>
        <w:t xml:space="preserve"> </w:t>
      </w:r>
      <w:r>
        <w:t xml:space="preserve">(up sharply from</w:t>
      </w:r>
      <w:r>
        <w:t xml:space="preserve"> </w:t>
      </w:r>
      <m:oMath>
        <m:r>
          <m:t>46.9</m:t>
        </m:r>
        <m:r>
          <m:t>M</m:t>
        </m:r>
        <m:r>
          <m:t>a</m:t>
        </m:r>
        <m:r>
          <m:t>y</m:t>
        </m:r>
        <m:r>
          <m:t>e</m:t>
        </m:r>
        <m:r>
          <m:t>a</m:t>
        </m:r>
        <m:r>
          <m:t>r</m:t>
        </m:r>
        <m:r>
          <m:t>a</m:t>
        </m:r>
        <m:r>
          <m:t>g</m:t>
        </m:r>
        <m:r>
          <m:t>o</m:t>
        </m:r>
        <m:r>
          <m:rPr>
            <m:sty m:val="p"/>
          </m:rPr>
          <m:t>)</m:t>
        </m:r>
        <m:r>
          <m:rPr>
            <m:sty m:val="p"/>
          </m:rPr>
          <m:t>,</m:t>
        </m:r>
        <m:r>
          <m:t>a</m:t>
        </m:r>
        <m:r>
          <m:t>n</m:t>
        </m:r>
        <m:r>
          <m:t>d</m:t>
        </m:r>
        <m:r>
          <m:t>F</m:t>
        </m:r>
        <m:r>
          <m:t>i</m:t>
        </m:r>
        <m:r>
          <m:t>n</m:t>
        </m:r>
        <m:r>
          <m:t>a</m:t>
        </m:r>
        <m:r>
          <m:t>n</m:t>
        </m:r>
        <m:r>
          <m:t>c</m:t>
        </m:r>
        <m:r>
          <m:t>i</m:t>
        </m:r>
        <m:r>
          <m:t>a</m:t>
        </m:r>
        <m:r>
          <m:t>l</m:t>
        </m:r>
        <m:r>
          <m:t>S</m:t>
        </m:r>
        <m:r>
          <m:t>e</m:t>
        </m:r>
        <m:r>
          <m:t>r</m:t>
        </m:r>
        <m:r>
          <m:t>v</m:t>
        </m:r>
        <m:r>
          <m:t>i</m:t>
        </m:r>
        <m:r>
          <m:t>c</m:t>
        </m:r>
        <m:r>
          <m:t>e</m:t>
        </m:r>
        <m:r>
          <m:t>s</m:t>
        </m:r>
        <m:r>
          <m:t>o</m:t>
        </m:r>
        <m:r>
          <m:t>p</m:t>
        </m:r>
        <m:r>
          <m:t>e</m:t>
        </m:r>
        <m:r>
          <m:t>r</m:t>
        </m:r>
        <m:r>
          <m:t>a</m:t>
        </m:r>
        <m:r>
          <m:t>t</m:t>
        </m:r>
        <m:r>
          <m:t>i</m:t>
        </m:r>
        <m:r>
          <m:t>n</m:t>
        </m:r>
        <m:r>
          <m:t>g</m:t>
        </m:r>
        <m:r>
          <m:t>e</m:t>
        </m:r>
        <m:r>
          <m:t>a</m:t>
        </m:r>
        <m:r>
          <m:t>r</m:t>
        </m:r>
        <m:r>
          <m:t>n</m:t>
        </m:r>
        <m:r>
          <m:t>i</m:t>
        </m:r>
        <m:r>
          <m:t>n</m:t>
        </m:r>
        <m:r>
          <m:t>g</m:t>
        </m:r>
        <m:r>
          <m:t>s</m:t>
        </m:r>
        <m:r>
          <m:t>o</m:t>
        </m:r>
        <m:r>
          <m:t>f</m:t>
        </m:r>
        <m:r>
          <m:t>r</m:t>
        </m:r>
        <m:r>
          <m:t>o</m:t>
        </m:r>
        <m:r>
          <m:t>u</m:t>
        </m:r>
        <m:r>
          <m:t>g</m:t>
        </m:r>
        <m:r>
          <m:t>h</m:t>
        </m:r>
        <m:r>
          <m:t>l</m:t>
        </m:r>
        <m:r>
          <m:t>y</m:t>
        </m:r>
        <m:r>
          <m:rPr>
            <m:sty m:val="p"/>
          </m:rPr>
          <m:t>*</m:t>
        </m:r>
        <m:r>
          <m:rPr>
            <m:sty m:val="p"/>
          </m:rPr>
          <m:t>*</m:t>
        </m:r>
      </m:oMath>
      <w:r>
        <w:t xml:space="preserve">69M** (vs. $68.2M a year ago). Analysts' assessment points toward Net Sales-Snap-on Tools Group reaching $504.15 million (+2.7% y/y) and Net Sales-Commercial &amp; Industrial Group at $366.85 million (+5.5% y/y); Operating earnings-Financial services is estimated at $69.07 million versus $68.20 million a year ago, and Operating earnings-Commercial &amp; Industrial Group is expected at $56.51 million versus $46.90 million reported in the prior-year quarter — implying the Street expects a meaningful C&amp;I margin rebound.</w:t>
      </w:r>
    </w:p>
    <w:bookmarkEnd w:id="11"/>
    <w:bookmarkStart w:id="12" w:name="Xeac0ec055b3f662c650223cb6941e31f65a9059"/>
    <w:p>
      <w:pPr>
        <w:pStyle w:val="Heading2"/>
      </w:pPr>
      <w:r>
        <w:t xml:space="preserve">What Happened Last Quarter (Q1 2026) — The Narrative Investors Are Watching to See Extended</w:t>
      </w:r>
    </w:p>
    <w:p>
      <w:pPr>
        <w:pStyle w:val="FirstParagraph"/>
      </w:pPr>
      <w:r>
        <w:t xml:space="preserve">Q1 2026 set the tone that management will likely try to build on:</w:t>
      </w:r>
    </w:p>
    <w:p>
      <w:pPr>
        <w:pStyle w:val="Compact"/>
        <w:numPr>
          <w:ilvl w:val="0"/>
          <w:numId w:val="1002"/>
        </w:numPr>
      </w:pPr>
      <w:r>
        <w:rPr>
          <w:b/>
          <w:bCs/>
        </w:rPr>
        <w:t xml:space="preserve">Record Q1 sales</w:t>
      </w:r>
      <w:r>
        <w:t xml:space="preserve"> </w:t>
      </w:r>
      <w:r>
        <w:t xml:space="preserve">of $1,207.2M, up 5.8% (organic +3.4%), with EPS of $4.69, up from $4.51 a year ago.</w:t>
      </w:r>
    </w:p>
    <w:p>
      <w:pPr>
        <w:pStyle w:val="Compact"/>
        <w:numPr>
          <w:ilvl w:val="0"/>
          <w:numId w:val="1002"/>
        </w:numPr>
      </w:pPr>
      <w:r>
        <w:rPr>
          <w:b/>
          <w:bCs/>
        </w:rPr>
        <w:t xml:space="preserve">"Green shoots" theme:</w:t>
      </w:r>
      <w:r>
        <w:t xml:space="preserve"> </w:t>
      </w:r>
      <w:r>
        <w:t xml:space="preserve">CEO Nick Pinchuk emphasized tentative signs of thaw in technician confidence — tool storage sales turned positive after being moribund, franchisee conversations were described as more optimistic, and the Tools Group returned to organic growth (+3.4%) after a rough stretch. Management was careful to caveat this as one quarter's data, not a declared trend.</w:t>
      </w:r>
    </w:p>
    <w:p>
      <w:pPr>
        <w:pStyle w:val="Compact"/>
        <w:numPr>
          <w:ilvl w:val="0"/>
          <w:numId w:val="1002"/>
        </w:numPr>
      </w:pPr>
      <w:r>
        <w:rPr>
          <w:b/>
          <w:bCs/>
        </w:rPr>
        <w:t xml:space="preserve">C&amp;I (Critical Industries) strength:</w:t>
      </w:r>
      <w:r>
        <w:t xml:space="preserve"> </w:t>
      </w:r>
      <w:r>
        <w:t xml:space="preserve">C&amp;I organic sales grew 7.1%, with the Industrial division up high-single-digits, powered by aviation (described as "gangbusters"), heavy-duty, and natural resources — even as military shipments stayed flat. Data center-related demand for specialty toolkits was also cited as an emerging opportunity.</w:t>
      </w:r>
    </w:p>
    <w:p>
      <w:pPr>
        <w:pStyle w:val="Compact"/>
        <w:numPr>
          <w:ilvl w:val="0"/>
          <w:numId w:val="1002"/>
        </w:numPr>
      </w:pPr>
      <w:r>
        <w:rPr>
          <w:b/>
          <w:bCs/>
        </w:rPr>
        <w:t xml:space="preserve">RS&amp;I mixed:</w:t>
      </w:r>
      <w:r>
        <w:t xml:space="preserve"> </w:t>
      </w:r>
      <w:r>
        <w:t xml:space="preserve">Sales hit a record for the segment ($485.3M) but organic growth was only slight, as gains with independent repair shops were offset by softer OEM dealership activity. Margins were pressured by unfavorable FX and continued investment in AI/LLM-enhanced proprietary databases (e.g., the new Mitchell 1 estimating tool).</w:t>
      </w:r>
    </w:p>
    <w:p>
      <w:pPr>
        <w:pStyle w:val="Compact"/>
        <w:numPr>
          <w:ilvl w:val="0"/>
          <w:numId w:val="1002"/>
        </w:numPr>
      </w:pPr>
      <w:r>
        <w:rPr>
          <w:b/>
          <w:bCs/>
        </w:rPr>
        <w:t xml:space="preserve">Margin story:</w:t>
      </w:r>
      <w:r>
        <w:t xml:space="preserve"> </w:t>
      </w:r>
      <w:r>
        <w:t xml:space="preserve">Gross margin held up (50.4% vs. 50.7% a year ago) despite tariffs and rising material costs, aided by RCI (Rapid Continuous Improvement) savings; operating margin before financial services slipped 50bps to 20.8% on unfavorable FX and stepped-up technology investment.</w:t>
      </w:r>
    </w:p>
    <w:p>
      <w:pPr>
        <w:pStyle w:val="Compact"/>
        <w:numPr>
          <w:ilvl w:val="0"/>
          <w:numId w:val="1002"/>
        </w:numPr>
      </w:pPr>
      <w:r>
        <w:rPr>
          <w:b/>
          <w:bCs/>
        </w:rPr>
        <w:t xml:space="preserve">Tariffs:</w:t>
      </w:r>
      <w:r>
        <w:t xml:space="preserve"> </w:t>
      </w:r>
      <w:r>
        <w:t xml:space="preserve">Management downplayed the impact, noting Snap-on's "make where we sell" manufacturing footprint provides relative insulation, though it is pursuing tariff refunds through the U.S. government's rebate portal purely to preserve optionality, not as something to count on.</w:t>
      </w:r>
    </w:p>
    <w:p>
      <w:pPr>
        <w:pStyle w:val="Compact"/>
        <w:numPr>
          <w:ilvl w:val="0"/>
          <w:numId w:val="1002"/>
        </w:numPr>
      </w:pPr>
      <w:r>
        <w:rPr>
          <w:b/>
          <w:bCs/>
        </w:rPr>
        <w:t xml:space="preserve">Financial Services:</w:t>
      </w:r>
      <w:r>
        <w:t xml:space="preserve"> </w:t>
      </w:r>
      <w:r>
        <w:t xml:space="preserve">Originations were roughly flat/slightly down, but delinquencies improved both sequentially and year-over-year, a positive credit signal for the captive finance arm that supports franchisee and technician purchases.</w:t>
      </w:r>
    </w:p>
    <w:bookmarkEnd w:id="12"/>
    <w:bookmarkStart w:id="13" w:name="X372159958c1bce5d9e412367117cbc6e96fb033"/>
    <w:p>
      <w:pPr>
        <w:pStyle w:val="Heading2"/>
      </w:pPr>
      <w:r>
        <w:t xml:space="preserve">Key Themes to Watch in the Q2 Print and Call</w:t>
      </w:r>
    </w:p>
    <w:p>
      <w:pPr>
        <w:pStyle w:val="Compact"/>
        <w:numPr>
          <w:ilvl w:val="0"/>
          <w:numId w:val="1003"/>
        </w:numPr>
      </w:pPr>
      <w:r>
        <w:rPr>
          <w:b/>
          <w:bCs/>
        </w:rPr>
        <w:t xml:space="preserve">Does the Tools Group "green shoot" continue?</w:t>
      </w:r>
      <w:r>
        <w:t xml:space="preserve"> </w:t>
      </w:r>
      <w:r>
        <w:t xml:space="preserve">Q1's return to positive organic growth (+3.4%) and the surprisingly strong reception to premium tool-storage launches (e.g., the "Tribute to America" commemorative box) raised hopes that pent-up technician demand is starting to release. Watch whether Q2 tool storage and hand/power tool trends extend the improvement, or whether it proves to be a one-quarter blip as management itself cautioned.</w:t>
      </w:r>
    </w:p>
    <w:p>
      <w:pPr>
        <w:pStyle w:val="Compact"/>
        <w:numPr>
          <w:ilvl w:val="0"/>
          <w:numId w:val="1003"/>
        </w:numPr>
      </w:pPr>
      <w:r>
        <w:rPr>
          <w:b/>
          <w:bCs/>
        </w:rPr>
        <w:t xml:space="preserve">Critical Industries (C&amp;I) momentum</w:t>
      </w:r>
      <w:r>
        <w:t xml:space="preserve"> </w:t>
      </w:r>
      <w:r>
        <w:t xml:space="preserve">— aviation, heavy-duty, natural resources, and nascent data-center-related demand drove a blow-out Industrial quarter in Q1. Consensus is looking for C&amp;I operating margin to rebound meaningfully (~$56.5M vs. $46.9M a year ago); confirmation of durability here (versus lumpy, project-driven demand) matters for the multiple.</w:t>
      </w:r>
    </w:p>
    <w:p>
      <w:pPr>
        <w:pStyle w:val="Compact"/>
        <w:numPr>
          <w:ilvl w:val="0"/>
          <w:numId w:val="1003"/>
        </w:numPr>
      </w:pPr>
      <w:r>
        <w:rPr>
          <w:b/>
          <w:bCs/>
        </w:rPr>
        <w:t xml:space="preserve">Military recovery</w:t>
      </w:r>
      <w:r>
        <w:t xml:space="preserve"> </w:t>
      </w:r>
      <w:r>
        <w:t xml:space="preserve">— flat in Q1 after a down 2025; management expects eventual restocking/refurbishment demand. Any inflection would be a incremental positive.</w:t>
      </w:r>
    </w:p>
    <w:p>
      <w:pPr>
        <w:pStyle w:val="Compact"/>
        <w:numPr>
          <w:ilvl w:val="0"/>
          <w:numId w:val="1003"/>
        </w:numPr>
      </w:pPr>
      <w:r>
        <w:rPr>
          <w:b/>
          <w:bCs/>
        </w:rPr>
        <w:t xml:space="preserve">RS&amp;I trajectory</w:t>
      </w:r>
      <w:r>
        <w:t xml:space="preserve"> </w:t>
      </w:r>
      <w:r>
        <w:t xml:space="preserve">— will independent-shop diagnostic/software strength keep offsetting OEM dealership softness, and how much further will margins be diluted by continued AI/database investment spend?</w:t>
      </w:r>
    </w:p>
    <w:p>
      <w:pPr>
        <w:pStyle w:val="Compact"/>
        <w:numPr>
          <w:ilvl w:val="0"/>
          <w:numId w:val="1003"/>
        </w:numPr>
      </w:pPr>
      <w:r>
        <w:rPr>
          <w:b/>
          <w:bCs/>
        </w:rPr>
        <w:t xml:space="preserve">Tariffs and FX</w:t>
      </w:r>
      <w:r>
        <w:t xml:space="preserve"> </w:t>
      </w:r>
      <w:r>
        <w:t xml:space="preserve">— an ongoing multi-quarter headwind/tailwind mix: unfavorable currency transaction effects (Sweden/UK-based manufacturing) have been diluting margins even as translation has been a modest EPS tailwind. Tariff policy (Section 232/122 changes, IEEPA) remains fluid; watch for updated commentary on cost impact and rebate-portal progress.</w:t>
      </w:r>
    </w:p>
    <w:p>
      <w:pPr>
        <w:pStyle w:val="Compact"/>
        <w:numPr>
          <w:ilvl w:val="0"/>
          <w:numId w:val="1003"/>
        </w:numPr>
      </w:pPr>
      <w:r>
        <w:rPr>
          <w:b/>
          <w:bCs/>
        </w:rPr>
        <w:t xml:space="preserve">Financial Services health</w:t>
      </w:r>
      <w:r>
        <w:t xml:space="preserve"> </w:t>
      </w:r>
      <w:r>
        <w:t xml:space="preserve">— originations trends and 60-day delinquency rates are a read-through on franchisee/technician financial stress; Q1 showed improving delinquencies despite soft originations.</w:t>
      </w:r>
    </w:p>
    <w:p>
      <w:pPr>
        <w:pStyle w:val="Compact"/>
        <w:numPr>
          <w:ilvl w:val="0"/>
          <w:numId w:val="1003"/>
        </w:numPr>
      </w:pPr>
      <w:r>
        <w:rPr>
          <w:b/>
          <w:bCs/>
        </w:rPr>
        <w:t xml:space="preserve">Capital allocation</w:t>
      </w:r>
      <w:r>
        <w:t xml:space="preserve"> </w:t>
      </w:r>
      <w:r>
        <w:t xml:space="preserve">— expect continued share buybacks (Snap-on had roughly</w:t>
      </w:r>
      <w:r>
        <w:t xml:space="preserve"> </w:t>
      </w:r>
      <m:oMath>
        <m:r>
          <m:t>234</m:t>
        </m:r>
        <m:r>
          <m:t>M</m:t>
        </m:r>
        <m:r>
          <m:t>o</m:t>
        </m:r>
        <m:r>
          <m:t>f</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t>r</m:t>
        </m:r>
        <m:r>
          <m:t>e</m:t>
        </m:r>
        <m:r>
          <m:t>m</m:t>
        </m:r>
        <m:r>
          <m:t>a</m:t>
        </m:r>
        <m:r>
          <m:t>i</m:t>
        </m:r>
        <m:r>
          <m:t>n</m:t>
        </m:r>
        <m:r>
          <m:t>i</m:t>
        </m:r>
        <m:r>
          <m:t>n</m:t>
        </m:r>
        <m:r>
          <m:t>g</m:t>
        </m:r>
        <m:r>
          <m:t>a</m:t>
        </m:r>
        <m:r>
          <m:t>s</m:t>
        </m:r>
        <m:r>
          <m:t>o</m:t>
        </m:r>
        <m:r>
          <m:t>f</m:t>
        </m:r>
        <m:r>
          <m:t>Q</m:t>
        </m:r>
        <m:r>
          <m:t>1</m:t>
        </m:r>
        <m:r>
          <m:rPr>
            <m:sty m:val="p"/>
          </m:rPr>
          <m:t>)</m:t>
        </m:r>
        <m:r>
          <m:t>a</m:t>
        </m:r>
        <m:r>
          <m:t>l</m:t>
        </m:r>
        <m:r>
          <m:t>o</m:t>
        </m:r>
        <m:r>
          <m:t>n</m:t>
        </m:r>
        <m:r>
          <m:t>g</m:t>
        </m:r>
        <m:r>
          <m:t>s</m:t>
        </m:r>
        <m:r>
          <m:t>i</m:t>
        </m:r>
        <m:r>
          <m:t>d</m:t>
        </m:r>
        <m:r>
          <m:t>e</m:t>
        </m:r>
        <m:r>
          <m:t>t</m:t>
        </m:r>
        <m:r>
          <m:t>h</m:t>
        </m:r>
        <m:r>
          <m:t>e</m:t>
        </m:r>
        <m:r>
          <m:t>d</m:t>
        </m:r>
        <m:r>
          <m:t>i</m:t>
        </m:r>
        <m:r>
          <m:t>v</m:t>
        </m:r>
        <m:r>
          <m:t>i</m:t>
        </m:r>
        <m:r>
          <m:t>d</m:t>
        </m:r>
        <m:r>
          <m:t>e</m:t>
        </m:r>
        <m:r>
          <m:t>n</m:t>
        </m:r>
        <m:r>
          <m:t>d</m:t>
        </m:r>
        <m:r>
          <m:rPr>
            <m:sty m:val="p"/>
          </m:rPr>
          <m:t>,</m:t>
        </m:r>
        <m:r>
          <m:t>w</m:t>
        </m:r>
        <m:r>
          <m:t>i</m:t>
        </m:r>
        <m:r>
          <m:t>t</m:t>
        </m:r>
        <m:r>
          <m:t>h</m:t>
        </m:r>
        <m:r>
          <m:t>f</m:t>
        </m:r>
        <m:r>
          <m:t>u</m:t>
        </m:r>
        <m:r>
          <m:t>l</m:t>
        </m:r>
        <m:r>
          <m:t>l</m:t>
        </m:r>
        <m:r>
          <m:rPr>
            <m:sty m:val="p"/>
          </m:rPr>
          <m:t>−</m:t>
        </m:r>
        <m:r>
          <m:t>y</m:t>
        </m:r>
        <m:r>
          <m:t>e</m:t>
        </m:r>
        <m:r>
          <m:t>a</m:t>
        </m:r>
        <m:r>
          <m:t>r</m:t>
        </m:r>
        <m:r>
          <m:t>c</m:t>
        </m:r>
        <m:r>
          <m:t>a</m:t>
        </m:r>
        <m:r>
          <m:t>p</m:t>
        </m:r>
        <m:r>
          <m:t>e</m:t>
        </m:r>
        <m:r>
          <m:t>x</m:t>
        </m:r>
        <m:r>
          <m:t>g</m:t>
        </m:r>
        <m:r>
          <m:t>u</m:t>
        </m:r>
        <m:r>
          <m:t>i</m:t>
        </m:r>
        <m:r>
          <m:t>d</m:t>
        </m:r>
        <m:r>
          <m:t>e</m:t>
        </m:r>
        <m:r>
          <m:t>d</m:t>
        </m:r>
        <m:r>
          <m:t>a</m:t>
        </m:r>
        <m:r>
          <m:t>t</m:t>
        </m:r>
        <m:r>
          <m:t> </m:t>
        </m:r>
      </m:oMath>
      <w:r>
        <w:t xml:space="preserve">100M and tax rate guided at 22–23%.</w:t>
      </w:r>
    </w:p>
    <w:p>
      <w:pPr>
        <w:pStyle w:val="Compact"/>
        <w:numPr>
          <w:ilvl w:val="0"/>
          <w:numId w:val="1003"/>
        </w:numPr>
      </w:pPr>
      <w:r>
        <w:rPr>
          <w:b/>
          <w:bCs/>
        </w:rPr>
        <w:t xml:space="preserve">Guidance philosophy</w:t>
      </w:r>
      <w:r>
        <w:t xml:space="preserve"> </w:t>
      </w:r>
      <w:r>
        <w:t xml:space="preserve">— Snap-on does not provide formal forward guidance, so commentary tone from CEO Nick Pinchuk and CFO Aldo Pagliari on "confidence," secular demand drivers (vehicle age at 12.8 years, rising repair complexity), and technician sentiment will be the main forward-looking signal for investors.</w:t>
      </w:r>
    </w:p>
    <w:bookmarkEnd w:id="13"/>
    <w:bookmarkStart w:id="14" w:name="bottom-line"/>
    <w:p>
      <w:pPr>
        <w:pStyle w:val="Heading2"/>
      </w:pPr>
      <w:r>
        <w:t xml:space="preserve">Bottom Line</w:t>
      </w:r>
    </w:p>
    <w:p>
      <w:pPr>
        <w:pStyle w:val="FirstParagraph"/>
      </w:pPr>
      <w:r>
        <w:t xml:space="preserve">Consensus is looking for a modest beat-and-raise-type quarter — EPS of about $4.90 (+3.8% y/y) on revenue near $1.22B (+3.6% y/y) — but the setup is not without risk: despite recent growth, concerns linger over its organic revenue stagnation and missed forecasts in previous quarters, and the stock's premium valuation near five-year highs leaves less cushion for a repeat of last quarter's EPS miss. The core debate investors should focus on is whether the Q1 "green shoots" in technician demand and tool storage were a genuine inflection or a one-off, and whether Critical Industries can sustain its high-single-digit growth cadence as a durable secular growth driver alongside the resilient (if slower-growing) core automotive repair franchise.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2026-07-23T00:49:04Z</dcterms:created>
  <dcterms:modified xsi:type="dcterms:W3CDTF">2026-07-23T00:49:04Z</dcterms:modified>
</cp:coreProperties>
</file>

<file path=docProps/custom.xml><?xml version="1.0" encoding="utf-8"?>
<Properties xmlns="http://schemas.openxmlformats.org/officeDocument/2006/custom-properties" xmlns:vt="http://schemas.openxmlformats.org/officeDocument/2006/docPropsVTypes"/>
</file>