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na-earnings-predictions--2026-07-23"/>
    <w:p>
      <w:pPr>
        <w:pStyle w:val="Heading1"/>
      </w:pPr>
      <w:r>
        <w:t xml:space="preserve">SNA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~$1.25B vs. cons $1.22B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~$4.86 vs. cons $4.92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margin before Financial Services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~21.5% vs. cons 21.8%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~$100M vs. cons $100M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Effective income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~22.5% vs. cons 22.5%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Corporate expense per quarter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~$28M vs. cons $28M (H2 2026 quarterly)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-4.2% (FOLLOW-THROUGH)</w:t>
            </w:r>
          </w:p>
        </w:tc>
        <w:tc>
          <w:tcPr/>
          <w:p>
            <w:pPr>
              <w:pStyle w:val="Compact"/>
            </w:pPr>
            <w:r>
              <w:t xml:space="preserve">5-day residual ~-4.2% vs. day-1 residual ~-3.0%; acquisition and cost-related margin dilution outweighs the acquisition-aided revenue beat, driving modest out-period EPS estimate cuts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2026-07-23T00:48:50Z</dcterms:created>
  <dcterms:modified xsi:type="dcterms:W3CDTF">2026-07-23T00:48:50Z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