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3675dcbfee823db5e5e9af3d6e1cbf1066eb136"/>
    <w:p>
      <w:pPr>
        <w:pStyle w:val="Heading1"/>
      </w:pPr>
      <w:r>
        <w:t xml:space="preserve">Snap-on (NYSE: SNA)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Snap-on is scheduled to report</w:t>
      </w:r>
      <w:r>
        <w:t xml:space="preserve"> </w:t>
      </w:r>
      <w:r>
        <w:rPr>
          <w:b/>
          <w:bCs/>
        </w:rPr>
        <w:t xml:space="preserve">today, Thursday, July 23, 2026, before the market opens</w:t>
      </w:r>
      <w:r>
        <w:t xml:space="preserve">, not tomorrow. The conference call begins at</w:t>
      </w:r>
      <w:r>
        <w:t xml:space="preserve"> </w:t>
      </w:r>
      <w:r>
        <w:rPr>
          <w:b/>
          <w:bCs/>
        </w:rPr>
        <w:t xml:space="preserve">10:00 a.m. ET / 9:00 a.m. CT</w:t>
      </w:r>
      <w:r>
        <w:t xml:space="preserve">. (</w:t>
      </w:r>
      <w:hyperlink r:id="rId9">
        <w:r>
          <w:rPr>
            <w:rStyle w:val="Hyperlink"/>
          </w:rPr>
          <w:t xml:space="preserve">snapon.com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Snap-on enters the quarter with improving operating momentum, a strong balance sheet, and encouraging signs that demand in its core van channel is stabilizing. The central question is whether the first quarter’s “green shoots”—particularly in tool storage—developed into a broader recovery, or whether technician caution remains a constraint on higher-ticket purchases.</w:t>
      </w:r>
    </w:p>
    <w:p>
      <w:pPr>
        <w:pStyle w:val="BodyText"/>
      </w:pPr>
      <w:r>
        <w:t xml:space="preserve">The setup appears favorable for</w:t>
      </w:r>
      <w:r>
        <w:t xml:space="preserve"> </w:t>
      </w:r>
      <w:r>
        <w:rPr>
          <w:b/>
          <w:bCs/>
        </w:rPr>
        <w:t xml:space="preserve">Commercial &amp; Industrial</w:t>
      </w:r>
      <w:r>
        <w:t xml:space="preserve">, which is lapping a weak comparison and should benefit from resilient aviation, heavy-duty, natural-resources, and specialty-torque demand. The outlook is less clear for</w:t>
      </w:r>
      <w:r>
        <w:t xml:space="preserve"> </w:t>
      </w:r>
      <w:r>
        <w:rPr>
          <w:b/>
          <w:bCs/>
        </w:rPr>
        <w:t xml:space="preserve">Snap-on Tools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Repair Systems &amp; Information</w:t>
      </w:r>
      <w:r>
        <w:t xml:space="preserve">, where investor attention will be on end-customer confidence, OEM project activity, technology spending, and margins.</w:t>
      </w:r>
    </w:p>
    <w:p>
      <w:pPr>
        <w:pStyle w:val="BodyText"/>
      </w:pPr>
      <w:r>
        <w:t xml:space="preserve">At approximately</w:t>
      </w:r>
      <w:r>
        <w:t xml:space="preserve"> </w:t>
      </w:r>
      <w:r>
        <w:rPr>
          <w:b/>
          <w:bCs/>
        </w:rPr>
        <w:t xml:space="preserve">$406 as of July 22</w:t>
      </w:r>
      <w:r>
        <w:t xml:space="preserve">, the shares are near their recent high and trade around</w:t>
      </w:r>
      <w:r>
        <w:t xml:space="preserve"> </w:t>
      </w:r>
      <w:r>
        <w:rPr>
          <w:b/>
          <w:bCs/>
        </w:rPr>
        <w:t xml:space="preserve">20.6 times the roughly $19.70 full-year consensus EPS estimate</w:t>
      </w:r>
      <w:r>
        <w:t xml:space="preserve">. That valuation suggests investors will probably expect more than a narrow headline beat: the company needs to show that organic growth is durable and that tariff, material-cost, currency, and investment pressures are being contained.</w:t>
      </w:r>
    </w:p>
    <w:p>
      <w:r>
        <w:pict>
          <v:rect style="width:0;height:1.5pt" o:hralign="center" o:hrstd="t" o:hr="t"/>
        </w:pict>
      </w:r>
    </w:p>
    <w:bookmarkEnd w:id="10"/>
    <w:bookmarkStart w:id="12" w:name="the-consensus-bar"/>
    <w:p>
      <w:pPr>
        <w:pStyle w:val="Heading2"/>
      </w:pPr>
      <w:r>
        <w:t xml:space="preserve">The consensus bar</w:t>
      </w:r>
    </w:p>
    <w:p>
      <w:pPr>
        <w:pStyle w:val="FirstParagraph"/>
      </w:pPr>
      <w:r>
        <w:t xml:space="preserve">Published estimates differ slightly by provider: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Consensus range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$1.22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$1.179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3.4%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4.90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About</w:t>
            </w:r>
            <w:r>
              <w:t xml:space="preserve"> </w:t>
            </w:r>
            <w:r>
              <w:rPr>
                <w:b/>
                <w:bCs/>
              </w:rPr>
              <w:t xml:space="preserve">4%–5%</w:t>
            </w:r>
          </w:p>
        </w:tc>
      </w:tr>
    </w:tbl>
    <w:p>
      <w:pPr>
        <w:pStyle w:val="BodyText"/>
      </w:pPr>
      <w:r>
        <w:t xml:space="preserve">Barchart shows a five-analyst EPS consensus of</w:t>
      </w:r>
      <w:r>
        <w:t xml:space="preserve"> </w:t>
      </w:r>
      <w:r>
        <w:rPr>
          <w:b/>
          <w:bCs/>
        </w:rPr>
        <w:t xml:space="preserve">$4.90</w:t>
      </w:r>
      <w:r>
        <w:t xml:space="preserve">, with estimates ranging from $4.81 to $4.97, while Benzinga reports $4.94; both indicate revenue of approximately $1.22 billion. (</w:t>
      </w:r>
      <w:hyperlink r:id="rId11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Snap-on does not provide conventional quarterly revenue or EPS guidance. Management’s most recent full-year framework called for:</w:t>
      </w:r>
    </w:p>
    <w:p>
      <w:pPr>
        <w:pStyle w:val="Compact"/>
        <w:numPr>
          <w:ilvl w:val="0"/>
          <w:numId w:val="1001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$100 million</w:t>
      </w:r>
      <w:r>
        <w:t xml:space="preserve"> </w:t>
      </w:r>
      <w:r>
        <w:t xml:space="preserve">of 2026 capital expenditure.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22%–23%</w:t>
      </w:r>
      <w:r>
        <w:t xml:space="preserve"> </w:t>
      </w:r>
      <w:r>
        <w:t xml:space="preserve">effective tax rate.</w:t>
      </w:r>
    </w:p>
    <w:p>
      <w:pPr>
        <w:pStyle w:val="Compact"/>
        <w:numPr>
          <w:ilvl w:val="0"/>
          <w:numId w:val="1001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$28 million of corporate expense per quarter</w:t>
      </w:r>
      <w:r>
        <w:t xml:space="preserve">.</w:t>
      </w:r>
    </w:p>
    <w:p>
      <w:pPr>
        <w:pStyle w:val="FirstParagraph"/>
      </w:pPr>
      <w:r>
        <w:t xml:space="preserve">That makes segment commentary and management’s characterization of current demand at least as important as the reported EPS.</w:t>
      </w:r>
    </w:p>
    <w:p>
      <w:r>
        <w:pict>
          <v:rect style="width:0;height:1.5pt" o:hralign="center" o:hrstd="t" o:hr="t"/>
        </w:pict>
      </w:r>
    </w:p>
    <w:bookmarkEnd w:id="12"/>
    <w:bookmarkStart w:id="18" w:name="what-changed-after-q1"/>
    <w:p>
      <w:pPr>
        <w:pStyle w:val="Heading2"/>
      </w:pPr>
      <w:r>
        <w:t xml:space="preserve">What changed after Q1</w:t>
      </w:r>
    </w:p>
    <w:bookmarkStart w:id="15" w:name="Xdfcfa57b524527864b11d8de4d07b098f1a04e5"/>
    <w:p>
      <w:pPr>
        <w:pStyle w:val="Heading3"/>
      </w:pPr>
      <w:r>
        <w:t xml:space="preserve">1. Two acquisitions add modest near-term revenue and strategic optionality</w:t>
      </w:r>
    </w:p>
    <w:p>
      <w:pPr>
        <w:pStyle w:val="FirstParagraph"/>
      </w:pPr>
      <w:r>
        <w:t xml:space="preserve">Snap-on spent approximately</w:t>
      </w:r>
      <w:r>
        <w:t xml:space="preserve"> </w:t>
      </w:r>
      <w:r>
        <w:rPr>
          <w:b/>
          <w:bCs/>
        </w:rPr>
        <w:t xml:space="preserve">$158 million</w:t>
      </w:r>
      <w:r>
        <w:t xml:space="preserve"> </w:t>
      </w:r>
      <w:r>
        <w:t xml:space="preserve">on two acquisitions after the first quarter: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Hi-Force</w:t>
      </w:r>
      <w:r>
        <w:t xml:space="preserve">, acquired April 30 for approximately</w:t>
      </w:r>
      <w:r>
        <w:t xml:space="preserve"> </w:t>
      </w:r>
      <w:r>
        <w:rPr>
          <w:b/>
          <w:bCs/>
        </w:rPr>
        <w:t xml:space="preserve">$58 million</w:t>
      </w:r>
      <w:r>
        <w:t xml:space="preserve">, makes high-pressure hydraulic tools, lifting systems, and torque and tensioning equipment. It will be included in Commercial &amp; Industrial and expands Snap-on’s exposure to oil and gas, power generation, rail, mining, and heavy engineering. (</w:t>
      </w:r>
      <w:hyperlink r:id="rId13">
        <w:r>
          <w:rPr>
            <w:rStyle w:val="Hyperlink"/>
          </w:rPr>
          <w:t xml:space="preserve">nasdaq.com</w:t>
        </w:r>
      </w:hyperlink>
      <w:r>
        <w:t xml:space="preserve">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Diesel Laptops</w:t>
      </w:r>
      <w:r>
        <w:t xml:space="preserve">, acquired June 8 for approximately</w:t>
      </w:r>
      <w:r>
        <w:t xml:space="preserve"> </w:t>
      </w:r>
      <w:r>
        <w:rPr>
          <w:b/>
          <w:bCs/>
        </w:rPr>
        <w:t xml:space="preserve">$100 million</w:t>
      </w:r>
      <w:r>
        <w:t xml:space="preserve">, provides diagnostics, repair information, and digital solutions for commercial trucks and off-highway equipment. It will be included in Repair Systems &amp; Information. (</w:t>
      </w:r>
      <w:hyperlink r:id="rId14">
        <w:r>
          <w:rPr>
            <w:rStyle w:val="Hyperlink"/>
          </w:rPr>
          <w:t xml:space="preserve">investing.com</w:t>
        </w:r>
      </w:hyperlink>
      <w:r>
        <w:t xml:space="preserve">)</w:t>
      </w:r>
    </w:p>
    <w:p>
      <w:pPr>
        <w:pStyle w:val="FirstParagraph"/>
      </w:pPr>
      <w:r>
        <w:t xml:space="preserve">Hi-Force should contribute for most of the quarter, while Diesel Laptops will contribute for only a few weeks. Neither deal is large relative to Snap-on’s roughly $1.2 billion quarterly revenue base, so investors should not mistake acquisition-related growth for an acceleration in the underlying businesses.</w:t>
      </w:r>
    </w:p>
    <w:p>
      <w:pPr>
        <w:pStyle w:val="BodyText"/>
      </w:pPr>
      <w:r>
        <w:t xml:space="preserve">The more important questions are:</w:t>
      </w:r>
    </w:p>
    <w:p>
      <w:pPr>
        <w:pStyle w:val="Compact"/>
        <w:numPr>
          <w:ilvl w:val="0"/>
          <w:numId w:val="1003"/>
        </w:numPr>
      </w:pPr>
      <w:r>
        <w:t xml:space="preserve">What annual revenue and margin contribution do the acquisitions bring?</w:t>
      </w:r>
    </w:p>
    <w:p>
      <w:pPr>
        <w:pStyle w:val="Compact"/>
        <w:numPr>
          <w:ilvl w:val="0"/>
          <w:numId w:val="1003"/>
        </w:numPr>
      </w:pPr>
      <w:r>
        <w:t xml:space="preserve">Are there meaningful integration or purchase-accounting costs?</w:t>
      </w:r>
    </w:p>
    <w:p>
      <w:pPr>
        <w:pStyle w:val="Compact"/>
        <w:numPr>
          <w:ilvl w:val="0"/>
          <w:numId w:val="1003"/>
        </w:numPr>
      </w:pPr>
      <w:r>
        <w:t xml:space="preserve">How quickly can Snap-on cross-sell Hi-Force and Diesel Laptops through its existing channels?</w:t>
      </w:r>
    </w:p>
    <w:p>
      <w:pPr>
        <w:pStyle w:val="Compact"/>
        <w:numPr>
          <w:ilvl w:val="0"/>
          <w:numId w:val="1003"/>
        </w:numPr>
      </w:pPr>
      <w:r>
        <w:t xml:space="preserve">Does Diesel Laptops materially strengthen RS&amp;I’s proprietary-data and recurring-software position?</w:t>
      </w:r>
    </w:p>
    <w:bookmarkEnd w:id="15"/>
    <w:bookmarkStart w:id="17" w:name="X20d2e9a478ae72750a0387aabc667750619d810"/>
    <w:p>
      <w:pPr>
        <w:pStyle w:val="Heading3"/>
      </w:pPr>
      <w:r>
        <w:t xml:space="preserve">2. Capital returns remain substantial</w:t>
      </w:r>
    </w:p>
    <w:p>
      <w:pPr>
        <w:pStyle w:val="FirstParagraph"/>
      </w:pPr>
      <w:r>
        <w:t xml:space="preserve">Snap-on ended Q1 with approximately</w:t>
      </w:r>
      <w:r>
        <w:t xml:space="preserve"> </w:t>
      </w:r>
      <w:r>
        <w:rPr>
          <w:b/>
          <w:bCs/>
        </w:rPr>
        <w:t xml:space="preserve">$1.75 billion of cash</w:t>
      </w:r>
      <w:r>
        <w:t xml:space="preserve">, after generating</w:t>
      </w:r>
      <w:r>
        <w:t xml:space="preserve"> </w:t>
      </w:r>
      <m:oMath>
        <m:r>
          <m:t>369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t>d</m:t>
        </m:r>
        <m:r>
          <m:t>u</m:t>
        </m:r>
        <m:r>
          <m:t>r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t>a</m:t>
        </m:r>
        <m:r>
          <m:t>l</m:t>
        </m:r>
        <m:r>
          <m:t>s</m:t>
        </m:r>
        <m:r>
          <m:t>o</m:t>
        </m:r>
        <m:r>
          <m:t>a</m:t>
        </m:r>
        <m:r>
          <m:t>n</m:t>
        </m:r>
        <m:r>
          <m:t>n</m:t>
        </m:r>
        <m:r>
          <m:t>o</m:t>
        </m:r>
        <m:r>
          <m:t>u</m:t>
        </m:r>
        <m:r>
          <m:t>n</m:t>
        </m:r>
        <m:r>
          <m:t>c</m:t>
        </m:r>
        <m:r>
          <m:t>e</m:t>
        </m:r>
        <m:r>
          <m:t>d</m:t>
        </m:r>
        <m:r>
          <m:t>a</m:t>
        </m:r>
        <m:r>
          <m:t>n</m:t>
        </m:r>
        <m:r>
          <m:t>e</m:t>
        </m:r>
        <m:r>
          <m:t>w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500 million repurchase authorization** in April. (</w:t>
      </w:r>
      <w:hyperlink r:id="rId16">
        <w:r>
          <w:rPr>
            <w:rStyle w:val="Hyperlink"/>
          </w:rPr>
          <w:t xml:space="preserve">snapon.com</w:t>
        </w:r>
      </w:hyperlink>
      <w:r>
        <w:t xml:space="preserve">)</w:t>
      </w:r>
    </w:p>
    <w:p>
      <w:pPr>
        <w:pStyle w:val="BodyText"/>
      </w:pPr>
      <w:r>
        <w:t xml:space="preserve">Investors should watch the Q2 share count and repurchase spending. Buybacks can provide a useful EPS tailwind, although underlying operating growth remains the more important issue at the current valuation.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segment-preview"/>
    <w:p>
      <w:pPr>
        <w:pStyle w:val="Heading2"/>
      </w:pPr>
      <w:r>
        <w:t xml:space="preserve">Segment preview</w:t>
      </w:r>
    </w:p>
    <w:bookmarkEnd w:id="19"/>
    <w:bookmarkStart w:id="22" w:name="X02e0f409bb2a84d56bd1ff9d47718c7a5d5e85b"/>
    <w:p>
      <w:pPr>
        <w:pStyle w:val="Heading2"/>
      </w:pPr>
      <w:r>
        <w:t xml:space="preserve">Commercial &amp; Industrial: likely the strongest contributor</w:t>
      </w:r>
    </w:p>
    <w:p>
      <w:pPr>
        <w:pStyle w:val="FirstParagraph"/>
      </w:pPr>
      <w:r>
        <w:t xml:space="preserve">C&amp;I was the clear standout in Q1:</w:t>
      </w:r>
    </w:p>
    <w:p>
      <w:pPr>
        <w:pStyle w:val="Compact"/>
        <w:numPr>
          <w:ilvl w:val="0"/>
          <w:numId w:val="1004"/>
        </w:numPr>
      </w:pPr>
      <w:r>
        <w:t xml:space="preserve">Sales:</w:t>
      </w:r>
      <w:r>
        <w:t xml:space="preserve"> </w:t>
      </w:r>
      <w:r>
        <w:rPr>
          <w:b/>
          <w:bCs/>
        </w:rPr>
        <w:t xml:space="preserve">$381.6 million</w:t>
      </w:r>
    </w:p>
    <w:p>
      <w:pPr>
        <w:pStyle w:val="Compact"/>
        <w:numPr>
          <w:ilvl w:val="0"/>
          <w:numId w:val="1004"/>
        </w:numPr>
      </w:pPr>
      <w:r>
        <w:t xml:space="preserve">Organic growth:</w:t>
      </w:r>
      <w:r>
        <w:t xml:space="preserve"> </w:t>
      </w:r>
      <w:r>
        <w:rPr>
          <w:b/>
          <w:bCs/>
        </w:rPr>
        <w:t xml:space="preserve">7.1%</w:t>
      </w:r>
    </w:p>
    <w:p>
      <w:pPr>
        <w:pStyle w:val="Compact"/>
        <w:numPr>
          <w:ilvl w:val="0"/>
          <w:numId w:val="1004"/>
        </w:numPr>
      </w:pPr>
      <w:r>
        <w:t xml:space="preserve">Operating margin:</w:t>
      </w:r>
      <w:r>
        <w:t xml:space="preserve"> </w:t>
      </w:r>
      <w:r>
        <w:rPr>
          <w:b/>
          <w:bCs/>
        </w:rPr>
        <w:t xml:space="preserve">14.4%</w:t>
      </w:r>
    </w:p>
    <w:p>
      <w:pPr>
        <w:pStyle w:val="Compact"/>
        <w:numPr>
          <w:ilvl w:val="0"/>
          <w:numId w:val="1004"/>
        </w:numPr>
      </w:pPr>
      <w:r>
        <w:t xml:space="preserve">Strong demand in aviation, heavy-duty, natural resources, and specialty torque</w:t>
      </w:r>
    </w:p>
    <w:p>
      <w:pPr>
        <w:pStyle w:val="Compact"/>
        <w:numPr>
          <w:ilvl w:val="0"/>
          <w:numId w:val="1004"/>
        </w:numPr>
      </w:pPr>
      <w:r>
        <w:t xml:space="preserve">Military sales approximately flat, but improved from prior weakness</w:t>
      </w:r>
    </w:p>
    <w:p>
      <w:pPr>
        <w:pStyle w:val="FirstParagraph"/>
      </w:pPr>
      <w:r>
        <w:t xml:space="preserve">The comparison is favorable. In Q2 2025, C&amp;I organic sales fell</w:t>
      </w:r>
      <w:r>
        <w:t xml:space="preserve"> </w:t>
      </w:r>
      <w:r>
        <w:rPr>
          <w:b/>
          <w:bCs/>
        </w:rPr>
        <w:t xml:space="preserve">7.6%</w:t>
      </w:r>
      <w:r>
        <w:t xml:space="preserve">, and operating margin was only</w:t>
      </w:r>
      <w:r>
        <w:t xml:space="preserve"> </w:t>
      </w:r>
      <w:r>
        <w:rPr>
          <w:b/>
          <w:bCs/>
        </w:rPr>
        <w:t xml:space="preserve">13.5%</w:t>
      </w:r>
      <w:r>
        <w:t xml:space="preserve">. Hi-Force also adds an acquisition contribution for most of Q2.</w:t>
      </w:r>
    </w:p>
    <w:p>
      <w:pPr>
        <w:pStyle w:val="BodyText"/>
      </w:pPr>
      <w:r>
        <w:t xml:space="preserve">That combination makes C&amp;I the segment most likely to post strong reported growth. The key issue is profitability. In Q1, tariffs, material costs, and currency transaction effects pressured gross margin despite strong volume.</w:t>
      </w:r>
    </w:p>
    <w:bookmarkStart w:id="20" w:name="what-would-be-encouraging"/>
    <w:p>
      <w:pPr>
        <w:pStyle w:val="Heading3"/>
      </w:pPr>
      <w:r>
        <w:t xml:space="preserve">What would be encouraging</w:t>
      </w:r>
    </w:p>
    <w:p>
      <w:pPr>
        <w:pStyle w:val="Compact"/>
        <w:numPr>
          <w:ilvl w:val="0"/>
          <w:numId w:val="1005"/>
        </w:numPr>
      </w:pPr>
      <w:r>
        <w:t xml:space="preserve">Another mid- to high-single-digit organic increase.</w:t>
      </w:r>
    </w:p>
    <w:p>
      <w:pPr>
        <w:pStyle w:val="Compact"/>
        <w:numPr>
          <w:ilvl w:val="0"/>
          <w:numId w:val="1005"/>
        </w:numPr>
      </w:pPr>
      <w:r>
        <w:t xml:space="preserve">Continued strength in aviation and specialty torque.</w:t>
      </w:r>
    </w:p>
    <w:p>
      <w:pPr>
        <w:pStyle w:val="Compact"/>
        <w:numPr>
          <w:ilvl w:val="0"/>
          <w:numId w:val="1005"/>
        </w:numPr>
      </w:pPr>
      <w:r>
        <w:t xml:space="preserve">Evidence that military demand is beginning to recover.</w:t>
      </w:r>
    </w:p>
    <w:p>
      <w:pPr>
        <w:pStyle w:val="Compact"/>
        <w:numPr>
          <w:ilvl w:val="0"/>
          <w:numId w:val="1005"/>
        </w:numPr>
      </w:pPr>
      <w:r>
        <w:t xml:space="preserve">Operating margin stabilizing or improving from Q1’s 14.4%.</w:t>
      </w:r>
    </w:p>
    <w:p>
      <w:pPr>
        <w:pStyle w:val="Compact"/>
        <w:numPr>
          <w:ilvl w:val="0"/>
          <w:numId w:val="1005"/>
        </w:numPr>
      </w:pPr>
      <w:r>
        <w:t xml:space="preserve">Healthy demand from data-center construction, power generation, and other critical-infrastructure customers.</w:t>
      </w:r>
    </w:p>
    <w:bookmarkEnd w:id="20"/>
    <w:bookmarkStart w:id="21" w:name="what-would-be-concerning"/>
    <w:p>
      <w:pPr>
        <w:pStyle w:val="Heading3"/>
      </w:pPr>
      <w:r>
        <w:t xml:space="preserve">What would be concerning</w:t>
      </w:r>
    </w:p>
    <w:p>
      <w:pPr>
        <w:pStyle w:val="Compact"/>
        <w:numPr>
          <w:ilvl w:val="0"/>
          <w:numId w:val="1006"/>
        </w:numPr>
      </w:pPr>
      <w:r>
        <w:t xml:space="preserve">Q1 growth proving project-driven or temporary.</w:t>
      </w:r>
    </w:p>
    <w:p>
      <w:pPr>
        <w:pStyle w:val="Compact"/>
        <w:numPr>
          <w:ilvl w:val="0"/>
          <w:numId w:val="1006"/>
        </w:numPr>
      </w:pPr>
      <w:r>
        <w:t xml:space="preserve">Continued margin erosion despite better volume and the easy comparison.</w:t>
      </w:r>
    </w:p>
    <w:p>
      <w:pPr>
        <w:pStyle w:val="Compact"/>
        <w:numPr>
          <w:ilvl w:val="0"/>
          <w:numId w:val="1006"/>
        </w:numPr>
      </w:pPr>
      <w:r>
        <w:t xml:space="preserve">Hi-Force contributing revenue but diluting segment margins.</w:t>
      </w:r>
    </w:p>
    <w:p>
      <w:pPr>
        <w:pStyle w:val="Compact"/>
        <w:numPr>
          <w:ilvl w:val="0"/>
          <w:numId w:val="1006"/>
        </w:numPr>
      </w:pPr>
      <w:r>
        <w:t xml:space="preserve">Weakness broadening beyond military applications.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X95580adc2d14c9e4c6f71f59d6ed87aa7fd7f2d"/>
    <w:p>
      <w:pPr>
        <w:pStyle w:val="Heading2"/>
      </w:pPr>
      <w:r>
        <w:t xml:space="preserve">Snap-on Tools: tool-storage durability is the swing factor</w:t>
      </w:r>
    </w:p>
    <w:p>
      <w:pPr>
        <w:pStyle w:val="FirstParagraph"/>
      </w:pPr>
      <w:r>
        <w:t xml:space="preserve">The Tools Group returned to positive momentum in Q1:</w:t>
      </w:r>
    </w:p>
    <w:p>
      <w:pPr>
        <w:pStyle w:val="Compact"/>
        <w:numPr>
          <w:ilvl w:val="0"/>
          <w:numId w:val="1007"/>
        </w:numPr>
      </w:pPr>
      <w:r>
        <w:t xml:space="preserve">Organic sales rose</w:t>
      </w:r>
      <w:r>
        <w:t xml:space="preserve"> </w:t>
      </w:r>
      <w:r>
        <w:rPr>
          <w:b/>
          <w:bCs/>
        </w:rPr>
        <w:t xml:space="preserve">3.4%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U.S. and international operations both grew at low-single-digit rates.</w:t>
      </w:r>
    </w:p>
    <w:p>
      <w:pPr>
        <w:pStyle w:val="Compact"/>
        <w:numPr>
          <w:ilvl w:val="0"/>
          <w:numId w:val="1007"/>
        </w:numPr>
      </w:pPr>
      <w:r>
        <w:t xml:space="preserve">Operating margin expanded</w:t>
      </w:r>
      <w:r>
        <w:t xml:space="preserve"> </w:t>
      </w:r>
      <w:r>
        <w:rPr>
          <w:b/>
          <w:bCs/>
        </w:rPr>
        <w:t xml:space="preserve">160 basis points to 21.6%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Tool storage increased, reversing a period of considerable weakness.</w:t>
      </w:r>
    </w:p>
    <w:p>
      <w:pPr>
        <w:pStyle w:val="Compact"/>
        <w:numPr>
          <w:ilvl w:val="0"/>
          <w:numId w:val="1007"/>
        </w:numPr>
      </w:pPr>
      <w:r>
        <w:t xml:space="preserve">Hand tools and power tools grew, while diagnostics remained challenged.</w:t>
      </w:r>
    </w:p>
    <w:p>
      <w:pPr>
        <w:pStyle w:val="FirstParagraph"/>
      </w:pPr>
      <w:r>
        <w:t xml:space="preserve">Management attributed some of the improvement to its pivot toward products offering technicians a shorter payback period. Lower-priced carts, storage accessories, hand tools, and compact cordless products have been better aligned with cautious customer spending than large roll cabs or expensive diagnostic systems.</w:t>
      </w:r>
    </w:p>
    <w:p>
      <w:pPr>
        <w:pStyle w:val="BodyText"/>
      </w:pPr>
      <w:r>
        <w:t xml:space="preserve">The quarter will test whether improved storage demand was sustainable. Q2 2025 Tools sales were $491 million, organic growth was 1.6%, and operating margin was a strong 23.8%, so the margin comparison is demanding.</w:t>
      </w:r>
    </w:p>
    <w:bookmarkStart w:id="23" w:name="the-most-important-disclosures"/>
    <w:p>
      <w:pPr>
        <w:pStyle w:val="Heading3"/>
      </w:pPr>
      <w:r>
        <w:t xml:space="preserve">The most important disclosures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Tool-storage sell-through:</w:t>
      </w:r>
      <w:r>
        <w:br/>
      </w:r>
      <w:r>
        <w:t xml:space="preserve">Was Q1’s improvement broad-based, or concentrated in limited-edition and promotional products?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Van sell-in versus end-customer sell-through:</w:t>
      </w:r>
      <w:r>
        <w:br/>
      </w:r>
      <w:r>
        <w:t xml:space="preserve">Inventory moving into franchisee vans without comparable technician demand would be a lower-quality result.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Technician confidence:</w:t>
      </w:r>
      <w:r>
        <w:br/>
      </w:r>
      <w:r>
        <w:t xml:space="preserve">Management previously described persistent caution around long-term purchase commitments. Any indication that customers are again comfortable financing larger purchases would materially strengthen the outlook.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Diagnostics:</w:t>
      </w:r>
      <w:r>
        <w:br/>
      </w:r>
      <w:r>
        <w:t xml:space="preserve">Diagnostics were weak in Q1. A recovery would improve both product mix and finance originations.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Margin resilience:</w:t>
      </w:r>
      <w:r>
        <w:br/>
      </w:r>
      <w:r>
        <w:t xml:space="preserve">Tools posted strong gross-margin improvement in Q1 despite tariffs and material inflation. Maintaining a margin near Q2 2025’s 23.8% would be an impressive result; a substantial decline would raise questions about pricing and product mix.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6" w:name="X81d8d6c0a252e150fb7014c38482f9e93050a72"/>
    <w:p>
      <w:pPr>
        <w:pStyle w:val="Heading2"/>
      </w:pPr>
      <w:r>
        <w:t xml:space="preserve">Repair Systems &amp; Information: execution matters more than headline growth</w:t>
      </w:r>
    </w:p>
    <w:p>
      <w:pPr>
        <w:pStyle w:val="FirstParagraph"/>
      </w:pPr>
      <w:r>
        <w:t xml:space="preserve">RS&amp;I had a mixed first quarter:</w:t>
      </w:r>
    </w:p>
    <w:p>
      <w:pPr>
        <w:pStyle w:val="Compact"/>
        <w:numPr>
          <w:ilvl w:val="0"/>
          <w:numId w:val="1009"/>
        </w:numPr>
      </w:pPr>
      <w:r>
        <w:t xml:space="preserve">Sales reached a quarterly record but were only slightly higher organically.</w:t>
      </w:r>
    </w:p>
    <w:p>
      <w:pPr>
        <w:pStyle w:val="Compact"/>
        <w:numPr>
          <w:ilvl w:val="0"/>
          <w:numId w:val="1009"/>
        </w:numPr>
      </w:pPr>
      <w:r>
        <w:t xml:space="preserve">Independent-shop diagnostics and repair information grew.</w:t>
      </w:r>
    </w:p>
    <w:p>
      <w:pPr>
        <w:pStyle w:val="Compact"/>
        <w:numPr>
          <w:ilvl w:val="0"/>
          <w:numId w:val="1009"/>
        </w:numPr>
      </w:pPr>
      <w:r>
        <w:t xml:space="preserve">North American OEM dealership programs declined.</w:t>
      </w:r>
    </w:p>
    <w:p>
      <w:pPr>
        <w:pStyle w:val="Compact"/>
        <w:numPr>
          <w:ilvl w:val="0"/>
          <w:numId w:val="1009"/>
        </w:numPr>
      </w:pPr>
      <w:r>
        <w:t xml:space="preserve">Operating margin fell</w:t>
      </w:r>
      <w:r>
        <w:t xml:space="preserve"> </w:t>
      </w:r>
      <w:r>
        <w:rPr>
          <w:b/>
          <w:bCs/>
        </w:rPr>
        <w:t xml:space="preserve">110 basis points to 24.6%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Higher personnel and technology investment—including spending on large-language-model capabilities—pressured expenses.</w:t>
      </w:r>
    </w:p>
    <w:p>
      <w:pPr>
        <w:pStyle w:val="FirstParagraph"/>
      </w:pPr>
      <w:r>
        <w:t xml:space="preserve">The comparison is not especially easy: Q2 2025 organic sales rose 2.3%, and segment operating margin was 25.6%.</w:t>
      </w:r>
    </w:p>
    <w:p>
      <w:pPr>
        <w:pStyle w:val="BodyText"/>
      </w:pPr>
      <w:r>
        <w:t xml:space="preserve">Diesel Laptops will add a small acquisition contribution late in the quarter, but the strategic commentary may matter more than the immediate financial impact. It extends Snap-on’s diagnostics and proprietary repair-information capabilities into heavy-duty trucks and off-highway equipment, an attractive adjacency to both RS&amp;I and C&amp;I.</w:t>
      </w:r>
    </w:p>
    <w:bookmarkStart w:id="25" w:name="key-questions"/>
    <w:p>
      <w:pPr>
        <w:pStyle w:val="Heading3"/>
      </w:pPr>
      <w:r>
        <w:t xml:space="preserve">Key questions</w:t>
      </w:r>
    </w:p>
    <w:p>
      <w:pPr>
        <w:pStyle w:val="Compact"/>
        <w:numPr>
          <w:ilvl w:val="0"/>
          <w:numId w:val="1010"/>
        </w:numPr>
      </w:pPr>
      <w:r>
        <w:t xml:space="preserve">Did North American OEM program activity recover from Q1’s “flat spot”?</w:t>
      </w:r>
    </w:p>
    <w:p>
      <w:pPr>
        <w:pStyle w:val="Compact"/>
        <w:numPr>
          <w:ilvl w:val="0"/>
          <w:numId w:val="1010"/>
        </w:numPr>
      </w:pPr>
      <w:r>
        <w:t xml:space="preserve">Are independent-shop software and repair-information products still growing?</w:t>
      </w:r>
    </w:p>
    <w:p>
      <w:pPr>
        <w:pStyle w:val="Compact"/>
        <w:numPr>
          <w:ilvl w:val="0"/>
          <w:numId w:val="1010"/>
        </w:numPr>
      </w:pPr>
      <w:r>
        <w:t xml:space="preserve">Is undercar equipment demand improving?</w:t>
      </w:r>
    </w:p>
    <w:p>
      <w:pPr>
        <w:pStyle w:val="Compact"/>
        <w:numPr>
          <w:ilvl w:val="0"/>
          <w:numId w:val="1010"/>
        </w:numPr>
      </w:pPr>
      <w:r>
        <w:t xml:space="preserve">How much longer will technology investment weigh on margins?</w:t>
      </w:r>
    </w:p>
    <w:p>
      <w:pPr>
        <w:pStyle w:val="Compact"/>
        <w:numPr>
          <w:ilvl w:val="0"/>
          <w:numId w:val="1010"/>
        </w:numPr>
      </w:pPr>
      <w:r>
        <w:t xml:space="preserve">Can management identify revenue or cost synergies from Diesel Laptops?</w:t>
      </w:r>
    </w:p>
    <w:p>
      <w:pPr>
        <w:pStyle w:val="Compact"/>
        <w:numPr>
          <w:ilvl w:val="0"/>
          <w:numId w:val="1010"/>
        </w:numPr>
      </w:pPr>
      <w:r>
        <w:t xml:space="preserve">Is RS&amp;I’s recurring software and information mix increasing?</w:t>
      </w:r>
    </w:p>
    <w:p>
      <w:pPr>
        <w:pStyle w:val="FirstParagraph"/>
      </w:pPr>
      <w:r>
        <w:t xml:space="preserve">A high-quality result would combine at least low-single-digit organic growth with a stable or improving margin. Reported growth driven mainly by Diesel Laptops, accompanied by further margin contraction, would be less compelling.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X09790953d97953842e7467680a10b8124f21b75"/>
    <w:p>
      <w:pPr>
        <w:pStyle w:val="Heading2"/>
      </w:pPr>
      <w:r>
        <w:t xml:space="preserve">Financial Services: watch credit quality, not just earnings</w:t>
      </w:r>
    </w:p>
    <w:p>
      <w:pPr>
        <w:pStyle w:val="FirstParagraph"/>
      </w:pPr>
      <w:r>
        <w:t xml:space="preserve">Financial Services remains a major source of earnings and facilitates high-ticket sales in the van channel. Q1 metrics were generally stable but not uniformly strong:</w:t>
      </w:r>
    </w:p>
    <w:p>
      <w:pPr>
        <w:pStyle w:val="Compact"/>
        <w:numPr>
          <w:ilvl w:val="0"/>
          <w:numId w:val="1011"/>
        </w:numPr>
      </w:pPr>
      <w:r>
        <w:t xml:space="preserve">Revenue:</w:t>
      </w:r>
      <w:r>
        <w:t xml:space="preserve"> </w:t>
      </w:r>
      <w:r>
        <w:rPr>
          <w:b/>
          <w:bCs/>
        </w:rPr>
        <w:t xml:space="preserve">$101.1 million</w:t>
      </w:r>
    </w:p>
    <w:p>
      <w:pPr>
        <w:pStyle w:val="Compact"/>
        <w:numPr>
          <w:ilvl w:val="0"/>
          <w:numId w:val="1011"/>
        </w:numPr>
      </w:pPr>
      <w:r>
        <w:t xml:space="preserve">Operating earnings:</w:t>
      </w:r>
      <w:r>
        <w:t xml:space="preserve"> </w:t>
      </w:r>
      <w:r>
        <w:rPr>
          <w:b/>
          <w:bCs/>
        </w:rPr>
        <w:t xml:space="preserve">$68.0 million</w:t>
      </w:r>
    </w:p>
    <w:p>
      <w:pPr>
        <w:pStyle w:val="Compact"/>
        <w:numPr>
          <w:ilvl w:val="0"/>
          <w:numId w:val="1011"/>
        </w:numPr>
      </w:pPr>
      <w:r>
        <w:t xml:space="preserve">Originations:</w:t>
      </w:r>
      <w:r>
        <w:t xml:space="preserve"> </w:t>
      </w:r>
      <w:r>
        <w:rPr>
          <w:b/>
          <w:bCs/>
        </w:rPr>
        <w:t xml:space="preserve">$264.6 million</w:t>
      </w:r>
      <w:r>
        <w:t xml:space="preserve">, down 1.5%</w:t>
      </w:r>
    </w:p>
    <w:p>
      <w:pPr>
        <w:pStyle w:val="Compact"/>
        <w:numPr>
          <w:ilvl w:val="0"/>
          <w:numId w:val="1011"/>
        </w:numPr>
      </w:pPr>
      <w:r>
        <w:t xml:space="preserve">U.S. 60-day-plus delinquency rate:</w:t>
      </w:r>
      <w:r>
        <w:t xml:space="preserve"> </w:t>
      </w:r>
      <w:r>
        <w:rPr>
          <w:b/>
          <w:bCs/>
        </w:rPr>
        <w:t xml:space="preserve">1.9%</w:t>
      </w:r>
    </w:p>
    <w:p>
      <w:pPr>
        <w:pStyle w:val="Compact"/>
        <w:numPr>
          <w:ilvl w:val="0"/>
          <w:numId w:val="1011"/>
        </w:numPr>
      </w:pPr>
      <w:r>
        <w:t xml:space="preserve">Trailing-12-month net losses:</w:t>
      </w:r>
      <w:r>
        <w:t xml:space="preserve"> </w:t>
      </w:r>
      <w:r>
        <w:rPr>
          <w:b/>
          <w:bCs/>
        </w:rPr>
        <w:t xml:space="preserve">3.75% of outstandings</w:t>
      </w:r>
    </w:p>
    <w:p>
      <w:pPr>
        <w:pStyle w:val="FirstParagraph"/>
      </w:pPr>
      <w:r>
        <w:t xml:space="preserve">Q2 2025 originations declined 4.9% to $293 million. A return to origination growth would support the argument that technicians are becoming more willing to make larger purchases.</w:t>
      </w:r>
    </w:p>
    <w:p>
      <w:pPr>
        <w:pStyle w:val="BodyText"/>
      </w:pPr>
      <w:r>
        <w:t xml:space="preserve">However, investors should distinguish between origination growth caused by healthy demand and growth produced by looser credit. The ideal combination would be:</w:t>
      </w:r>
    </w:p>
    <w:p>
      <w:pPr>
        <w:pStyle w:val="Compact"/>
        <w:numPr>
          <w:ilvl w:val="0"/>
          <w:numId w:val="1012"/>
        </w:numPr>
      </w:pPr>
      <w:r>
        <w:t xml:space="preserve">Higher originations.</w:t>
      </w:r>
    </w:p>
    <w:p>
      <w:pPr>
        <w:pStyle w:val="Compact"/>
        <w:numPr>
          <w:ilvl w:val="0"/>
          <w:numId w:val="1012"/>
        </w:numPr>
      </w:pPr>
      <w:r>
        <w:t xml:space="preserve">Stable delinquency rates.</w:t>
      </w:r>
    </w:p>
    <w:p>
      <w:pPr>
        <w:pStyle w:val="Compact"/>
        <w:numPr>
          <w:ilvl w:val="0"/>
          <w:numId w:val="1012"/>
        </w:numPr>
      </w:pPr>
      <w:r>
        <w:t xml:space="preserve">No meaningful acceleration in net losses or bad-debt provisions.</w:t>
      </w:r>
    </w:p>
    <w:p>
      <w:pPr>
        <w:pStyle w:val="Compact"/>
        <w:numPr>
          <w:ilvl w:val="0"/>
          <w:numId w:val="1012"/>
        </w:numPr>
      </w:pPr>
      <w:r>
        <w:t xml:space="preserve">A stable average yield and Financial Services operating margin.</w:t>
      </w:r>
    </w:p>
    <w:p>
      <w:pPr>
        <w:pStyle w:val="FirstParagraph"/>
      </w:pPr>
      <w:r>
        <w:t xml:space="preserve">A sequential increase in delinquencies is not automatically alarming because Q1 normally benefits from seasonal tax-refund collections. The magnitude and management’s forward commentary will be more important.</w:t>
      </w:r>
    </w:p>
    <w:p>
      <w:r>
        <w:pict>
          <v:rect style="width:0;height:1.5pt" o:hralign="center" o:hrstd="t" o:hr="t"/>
        </w:pict>
      </w:r>
    </w:p>
    <w:bookmarkEnd w:id="27"/>
    <w:bookmarkStart w:id="28" w:name="X629a603b298996b078c18374e479f73f54fdde1"/>
    <w:p>
      <w:pPr>
        <w:pStyle w:val="Heading2"/>
      </w:pPr>
      <w:r>
        <w:t xml:space="preserve">Margins and costs may decide the EPS outcome</w:t>
      </w:r>
    </w:p>
    <w:p>
      <w:pPr>
        <w:pStyle w:val="FirstParagraph"/>
      </w:pPr>
      <w:r>
        <w:t xml:space="preserve">Q1 consolidated results showed that Snap-on could grow through a difficult cost environment, but margins remained under pressure:</w:t>
      </w:r>
    </w:p>
    <w:p>
      <w:pPr>
        <w:pStyle w:val="Compact"/>
        <w:numPr>
          <w:ilvl w:val="0"/>
          <w:numId w:val="1013"/>
        </w:numPr>
      </w:pPr>
      <w:r>
        <w:t xml:space="preserve">Organic sales increased 3.4%.</w:t>
      </w:r>
    </w:p>
    <w:p>
      <w:pPr>
        <w:pStyle w:val="Compact"/>
        <w:numPr>
          <w:ilvl w:val="0"/>
          <w:numId w:val="1013"/>
        </w:numPr>
      </w:pPr>
      <w:r>
        <w:t xml:space="preserve">Gross margin was</w:t>
      </w:r>
      <w:r>
        <w:t xml:space="preserve"> </w:t>
      </w:r>
      <w:r>
        <w:rPr>
          <w:b/>
          <w:bCs/>
        </w:rPr>
        <w:t xml:space="preserve">50.4%</w:t>
      </w:r>
      <w:r>
        <w:t xml:space="preserve">, down 30 basis points.</w:t>
      </w:r>
    </w:p>
    <w:p>
      <w:pPr>
        <w:pStyle w:val="Compact"/>
        <w:numPr>
          <w:ilvl w:val="0"/>
          <w:numId w:val="1013"/>
        </w:numPr>
      </w:pPr>
      <w:r>
        <w:t xml:space="preserve">Operating margin before Financial Services was</w:t>
      </w:r>
      <w:r>
        <w:t xml:space="preserve"> </w:t>
      </w:r>
      <w:r>
        <w:rPr>
          <w:b/>
          <w:bCs/>
        </w:rPr>
        <w:t xml:space="preserve">20.8%</w:t>
      </w:r>
      <w:r>
        <w:t xml:space="preserve">, down 50 basis points.</w:t>
      </w:r>
    </w:p>
    <w:p>
      <w:pPr>
        <w:pStyle w:val="Compact"/>
        <w:numPr>
          <w:ilvl w:val="0"/>
          <w:numId w:val="1013"/>
        </w:numPr>
      </w:pPr>
      <w:r>
        <w:t xml:space="preserve">Tariffs, material inflation, personnel costs, technology investment, and currency transaction effects were the main headwinds.</w:t>
      </w:r>
    </w:p>
    <w:p>
      <w:pPr>
        <w:pStyle w:val="FirstParagraph"/>
      </w:pPr>
      <w:r>
        <w:t xml:space="preserve">For Q2, revenue around consensus probably will not be enough on its own. To deliver EPS near</w:t>
      </w:r>
      <w:r>
        <w:t xml:space="preserve"> </w:t>
      </w:r>
      <m:oMath>
        <m:r>
          <m:t>4.90</m:t>
        </m:r>
        <m:r>
          <m:rPr>
            <m:sty m:val="p"/>
          </m:rPr>
          <m:t>–</m:t>
        </m:r>
      </m:oMath>
      <w:r>
        <w:t xml:space="preserve">4.94, Snap-on likely needs a combination of:</w:t>
      </w:r>
    </w:p>
    <w:p>
      <w:pPr>
        <w:pStyle w:val="Compact"/>
        <w:numPr>
          <w:ilvl w:val="0"/>
          <w:numId w:val="1014"/>
        </w:numPr>
      </w:pPr>
      <w:r>
        <w:t xml:space="preserve">Positive organic volume.</w:t>
      </w:r>
    </w:p>
    <w:p>
      <w:pPr>
        <w:pStyle w:val="Compact"/>
        <w:numPr>
          <w:ilvl w:val="0"/>
          <w:numId w:val="1014"/>
        </w:numPr>
      </w:pPr>
      <w:r>
        <w:t xml:space="preserve">Reasonable price realization.</w:t>
      </w:r>
    </w:p>
    <w:p>
      <w:pPr>
        <w:pStyle w:val="Compact"/>
        <w:numPr>
          <w:ilvl w:val="0"/>
          <w:numId w:val="1014"/>
        </w:numPr>
      </w:pPr>
      <w:r>
        <w:t xml:space="preserve">Continued Rapid Continuous Improvement savings.</w:t>
      </w:r>
    </w:p>
    <w:p>
      <w:pPr>
        <w:pStyle w:val="Compact"/>
        <w:numPr>
          <w:ilvl w:val="0"/>
          <w:numId w:val="1014"/>
        </w:numPr>
      </w:pPr>
      <w:r>
        <w:t xml:space="preserve">Stable Financial Services earnings.</w:t>
      </w:r>
    </w:p>
    <w:p>
      <w:pPr>
        <w:pStyle w:val="Compact"/>
        <w:numPr>
          <w:ilvl w:val="0"/>
          <w:numId w:val="1014"/>
        </w:numPr>
      </w:pPr>
      <w:r>
        <w:t xml:space="preserve">Buyback-related share-count reduction.</w:t>
      </w:r>
    </w:p>
    <w:p>
      <w:pPr>
        <w:pStyle w:val="Compact"/>
        <w:numPr>
          <w:ilvl w:val="0"/>
          <w:numId w:val="1014"/>
        </w:numPr>
      </w:pPr>
      <w:r>
        <w:t xml:space="preserve">No material acquisition or restructuring charges.</w:t>
      </w:r>
    </w:p>
    <w:p>
      <w:pPr>
        <w:pStyle w:val="FirstParagraph"/>
      </w:pPr>
      <w:r>
        <w:t xml:space="preserve">Watch whether management says tariff costs are</w:t>
      </w:r>
      <w:r>
        <w:t xml:space="preserve"> </w:t>
      </w:r>
      <w:r>
        <w:rPr>
          <w:b/>
          <w:bCs/>
        </w:rPr>
        <w:t xml:space="preserve">stable, increasing, or being recovered through pricing</w:t>
      </w:r>
      <w:r>
        <w:t xml:space="preserve">. Snap-on is relatively insulated because it manufactures much of its product near the markets where it sells, but C&amp;I and certain international operations remain exposed.</w:t>
      </w:r>
    </w:p>
    <w:p>
      <w:r>
        <w:pict>
          <v:rect style="width:0;height:1.5pt" o:hralign="center" o:hrstd="t" o:hr="t"/>
        </w:pict>
      </w:r>
    </w:p>
    <w:bookmarkEnd w:id="28"/>
    <w:bookmarkStart w:id="32" w:name="potential-outcomes"/>
    <w:p>
      <w:pPr>
        <w:pStyle w:val="Heading2"/>
      </w:pPr>
      <w:r>
        <w:t xml:space="preserve">Potential outcomes</w:t>
      </w:r>
    </w:p>
    <w:bookmarkStart w:id="29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5"/>
        </w:numPr>
      </w:pPr>
      <w:r>
        <w:t xml:space="preserve">Revenue exceeds $1.22 billion with organic growth around the mid-single digits.</w:t>
      </w:r>
    </w:p>
    <w:p>
      <w:pPr>
        <w:pStyle w:val="Compact"/>
        <w:numPr>
          <w:ilvl w:val="0"/>
          <w:numId w:val="1015"/>
        </w:numPr>
      </w:pPr>
      <w:r>
        <w:t xml:space="preserve">EPS clears the high end of the published estimate range.</w:t>
      </w:r>
    </w:p>
    <w:p>
      <w:pPr>
        <w:pStyle w:val="Compact"/>
        <w:numPr>
          <w:ilvl w:val="0"/>
          <w:numId w:val="1015"/>
        </w:numPr>
      </w:pPr>
      <w:r>
        <w:t xml:space="preserve">C&amp;I sustains strong organic growth and improves margins.</w:t>
      </w:r>
    </w:p>
    <w:p>
      <w:pPr>
        <w:pStyle w:val="Compact"/>
        <w:numPr>
          <w:ilvl w:val="0"/>
          <w:numId w:val="1015"/>
        </w:numPr>
      </w:pPr>
      <w:r>
        <w:t xml:space="preserve">Tools storage remains positive, with stronger finance originations.</w:t>
      </w:r>
    </w:p>
    <w:p>
      <w:pPr>
        <w:pStyle w:val="Compact"/>
        <w:numPr>
          <w:ilvl w:val="0"/>
          <w:numId w:val="1015"/>
        </w:numPr>
      </w:pPr>
      <w:r>
        <w:t xml:space="preserve">RS&amp;I OEM activity recovers and software growth offsets investment spending.</w:t>
      </w:r>
    </w:p>
    <w:p>
      <w:pPr>
        <w:pStyle w:val="Compact"/>
        <w:numPr>
          <w:ilvl w:val="0"/>
          <w:numId w:val="1015"/>
        </w:numPr>
      </w:pPr>
      <w:r>
        <w:t xml:space="preserve">Management describes tariffs and input costs as manageable.</w:t>
      </w:r>
    </w:p>
    <w:p>
      <w:pPr>
        <w:pStyle w:val="Compact"/>
        <w:numPr>
          <w:ilvl w:val="0"/>
          <w:numId w:val="1015"/>
        </w:numPr>
      </w:pPr>
      <w:r>
        <w:t xml:space="preserve">Credit metrics remain stable.</w:t>
      </w:r>
    </w:p>
    <w:p>
      <w:pPr>
        <w:pStyle w:val="FirstParagraph"/>
      </w:pPr>
      <w:r>
        <w:t xml:space="preserve">This would support the view that Snap-on is entering a broader earnings-growth cycle rather than merely benefiting from easy comparisons.</w:t>
      </w:r>
    </w:p>
    <w:bookmarkEnd w:id="29"/>
    <w:bookmarkStart w:id="30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6"/>
        </w:numPr>
      </w:pPr>
      <w:r>
        <w:t xml:space="preserve">Revenue and EPS land near consensus.</w:t>
      </w:r>
    </w:p>
    <w:p>
      <w:pPr>
        <w:pStyle w:val="Compact"/>
        <w:numPr>
          <w:ilvl w:val="0"/>
          <w:numId w:val="1016"/>
        </w:numPr>
      </w:pPr>
      <w:r>
        <w:t xml:space="preserve">C&amp;I is strong, aided by Hi-Force and an easy comparison.</w:t>
      </w:r>
    </w:p>
    <w:p>
      <w:pPr>
        <w:pStyle w:val="Compact"/>
        <w:numPr>
          <w:ilvl w:val="0"/>
          <w:numId w:val="1016"/>
        </w:numPr>
      </w:pPr>
      <w:r>
        <w:t xml:space="preserve">Tools grows modestly, but storage and technician confidence remain uneven.</w:t>
      </w:r>
    </w:p>
    <w:p>
      <w:pPr>
        <w:pStyle w:val="Compact"/>
        <w:numPr>
          <w:ilvl w:val="0"/>
          <w:numId w:val="1016"/>
        </w:numPr>
      </w:pPr>
      <w:r>
        <w:t xml:space="preserve">RS&amp;I stays roughly flat organically with continuing investment pressure.</w:t>
      </w:r>
    </w:p>
    <w:p>
      <w:pPr>
        <w:pStyle w:val="Compact"/>
        <w:numPr>
          <w:ilvl w:val="0"/>
          <w:numId w:val="1016"/>
        </w:numPr>
      </w:pPr>
      <w:r>
        <w:t xml:space="preserve">Financial Services remains stable.</w:t>
      </w:r>
    </w:p>
    <w:p>
      <w:pPr>
        <w:pStyle w:val="Compact"/>
        <w:numPr>
          <w:ilvl w:val="0"/>
          <w:numId w:val="1016"/>
        </w:numPr>
      </w:pPr>
      <w:r>
        <w:t xml:space="preserve">Management maintains its existing tax, capex, and corporate-cost framework.</w:t>
      </w:r>
    </w:p>
    <w:p>
      <w:pPr>
        <w:pStyle w:val="FirstParagraph"/>
      </w:pPr>
      <w:r>
        <w:t xml:space="preserve">The stock reaction would likely depend heavily on organic growth, segment margins, and management’s tone.</w:t>
      </w:r>
    </w:p>
    <w:bookmarkEnd w:id="30"/>
    <w:bookmarkStart w:id="31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7"/>
        </w:numPr>
      </w:pPr>
      <w:r>
        <w:t xml:space="preserve">Revenue misses despite acquisition contributions.</w:t>
      </w:r>
    </w:p>
    <w:p>
      <w:pPr>
        <w:pStyle w:val="Compact"/>
        <w:numPr>
          <w:ilvl w:val="0"/>
          <w:numId w:val="1017"/>
        </w:numPr>
      </w:pPr>
      <w:r>
        <w:t xml:space="preserve">Tools storage reverses and diagnostics remain weak.</w:t>
      </w:r>
    </w:p>
    <w:p>
      <w:pPr>
        <w:pStyle w:val="Compact"/>
        <w:numPr>
          <w:ilvl w:val="0"/>
          <w:numId w:val="1017"/>
        </w:numPr>
      </w:pPr>
      <w:r>
        <w:t xml:space="preserve">C&amp;I margin deteriorates under tariff and material-cost pressure.</w:t>
      </w:r>
    </w:p>
    <w:p>
      <w:pPr>
        <w:pStyle w:val="Compact"/>
        <w:numPr>
          <w:ilvl w:val="0"/>
          <w:numId w:val="1017"/>
        </w:numPr>
      </w:pPr>
      <w:r>
        <w:t xml:space="preserve">RS&amp;I OEM weakness persists while technology spending rises.</w:t>
      </w:r>
    </w:p>
    <w:p>
      <w:pPr>
        <w:pStyle w:val="Compact"/>
        <w:numPr>
          <w:ilvl w:val="0"/>
          <w:numId w:val="1017"/>
        </w:numPr>
      </w:pPr>
      <w:r>
        <w:t xml:space="preserve">Originations remain soft and credit losses worsen.</w:t>
      </w:r>
    </w:p>
    <w:p>
      <w:pPr>
        <w:pStyle w:val="Compact"/>
        <w:numPr>
          <w:ilvl w:val="0"/>
          <w:numId w:val="1017"/>
        </w:numPr>
      </w:pPr>
      <w:r>
        <w:t xml:space="preserve">Management indicates that the Q1 improvement did not continue into Q2.</w:t>
      </w:r>
    </w:p>
    <w:p>
      <w:pPr>
        <w:pStyle w:val="FirstParagraph"/>
      </w:pPr>
      <w:r>
        <w:t xml:space="preserve">Given the stock’s proximity to recent highs, a mixed report combined with cautious commentary could generate a disproportionate negative reaction.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X12f053325472ac28f9bae2eb1254359fd9be28d"/>
    <w:p>
      <w:pPr>
        <w:pStyle w:val="Heading2"/>
      </w:pPr>
      <w:r>
        <w:t xml:space="preserve">Questions investors should want answered on the call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Did the improvement in technician demand continue throughout Q2, or did momentum soften late in the quarter?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How much of Tools growth came from sell-through versus franchisee inventory restocking?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Was tool-storage growth broad-based across price points?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Can C&amp;I sustain its Q1 growth without a significant military recovery?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What revenue and margin contribution should investors expect from Hi-Force and Diesel Laptops?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When should RS&amp;I technology investment begin producing measurable revenue or productivity benefits?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Are tariff and material-cost pressures getting better or worse sequentially?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What is the current outlook for finance originations, delinquencies, and net losses?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How much stock was repurchased under the expanded authorization?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Does management still see “green shoots,” or is it prepared to describe a genuine demand recovery?</w:t>
      </w:r>
    </w:p>
    <w:p>
      <w:r>
        <w:pict>
          <v:rect style="width:0;height:1.5pt" o:hralign="center" o:hrstd="t" o:hr="t"/>
        </w:pict>
      </w:r>
    </w:p>
    <w:bookmarkEnd w:id="33"/>
    <w:bookmarkStart w:id="3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headline estimates—approximately</w:t>
      </w:r>
      <w:r>
        <w:t xml:space="preserve"> </w:t>
      </w:r>
      <w:r>
        <w:rPr>
          <w:b/>
          <w:bCs/>
        </w:rPr>
        <w:t xml:space="preserve">$1.22 billion of revenue and</w:t>
      </w:r>
      <w:r>
        <w:rPr>
          <w:b/>
          <w:bCs/>
        </w:rPr>
        <w:t xml:space="preserve"> </w:t>
      </w:r>
      <m:oMath>
        <m:r>
          <m:t>4.90</m:t>
        </m:r>
        <m:r>
          <m:rPr>
            <m:sty m:val="p"/>
          </m:rPr>
          <m:t>–</m:t>
        </m:r>
      </m:oMath>
      <w:r>
        <w:rPr>
          <w:b/>
          <w:bCs/>
        </w:rPr>
        <w:t xml:space="preserve">4.94 of EPS</w:t>
      </w:r>
      <w:r>
        <w:t xml:space="preserve">—are achievable if Q1’s organic momentum persists. But the quality of the result will depend on three things: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Whether Tools demand, especially storage and diagnostics, is genuinely improving.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Whether C&amp;I converts strong volume and favorable comparisons into better profitability.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Whether Financial Services credit and RS&amp;I margins remain controlled.</w:t>
      </w:r>
    </w:p>
    <w:p>
      <w:pPr>
        <w:pStyle w:val="FirstParagraph"/>
      </w:pPr>
      <w:r>
        <w:t xml:space="preserve">SNA enters the report as a high-quality, cash-rich compounder, but also as a stock near its highs with a roughly 20-times forward earnings multiple. A modest beat may therefore be less important than evidence that organic growth is broadening and that margins can expand despite tariffs, investment spending, and recent acquisitions.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www.benzinga.com/quote/SNA/earnings?utm_source=openai" TargetMode="External" /><Relationship Type="http://schemas.openxmlformats.org/officeDocument/2006/relationships/hyperlink" Id="rId14" Target="https://www.investing.com/news/company-news/snapon-acquires-diesel-laptops-for-100-million-93CH-4733973?utm_source=openai" TargetMode="External" /><Relationship Type="http://schemas.openxmlformats.org/officeDocument/2006/relationships/hyperlink" Id="rId13" Target="https://www.nasdaq.com/press-release/snap-acquires-hi-force-hydraulic-tools-2026-05-05?utm_source=openai" TargetMode="External" /><Relationship Type="http://schemas.openxmlformats.org/officeDocument/2006/relationships/hyperlink" Id="rId16" Target="https://www.snapon.com/EN/Investors/Corporate-Press-Releases?field_nir_news_date_value%5Bmin%5D=2026&amp;utm_source=openai" TargetMode="External" /><Relationship Type="http://schemas.openxmlformats.org/officeDocument/2006/relationships/hyperlink" Id="rId9" Target="https://www.snapon.com/EN/Investors/Investor-Event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www.benzinga.com/quote/SNA/earnings?utm_source=openai" TargetMode="External" /><Relationship Type="http://schemas.openxmlformats.org/officeDocument/2006/relationships/hyperlink" Id="rId14" Target="https://www.investing.com/news/company-news/snapon-acquires-diesel-laptops-for-100-million-93CH-4733973?utm_source=openai" TargetMode="External" /><Relationship Type="http://schemas.openxmlformats.org/officeDocument/2006/relationships/hyperlink" Id="rId13" Target="https://www.nasdaq.com/press-release/snap-acquires-hi-force-hydraulic-tools-2026-05-05?utm_source=openai" TargetMode="External" /><Relationship Type="http://schemas.openxmlformats.org/officeDocument/2006/relationships/hyperlink" Id="rId16" Target="https://www.snapon.com/EN/Investors/Corporate-Press-Releases?field_nir_news_date_value%5Bmin%5D=2026&amp;utm_source=openai" TargetMode="External" /><Relationship Type="http://schemas.openxmlformats.org/officeDocument/2006/relationships/hyperlink" Id="rId9" Target="https://www.snapon.com/EN/Investors/Investor-Event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2026-07-23T00:48:49Z</dcterms:created>
  <dcterms:modified xsi:type="dcterms:W3CDTF">2026-07-23T00:48:49Z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