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~$5.12 vs. cons $5.05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before Financial Services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~21.7% vs. cons 21.6%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~22.5% vs. cons 22.5%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100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 million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Corporate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28</m:t>
              </m:r>
              <m:r>
                <m:t>m</m:t>
              </m:r>
              <m:r>
                <m:t>i</m:t>
              </m:r>
              <m:r>
                <m:t>l</m:t>
              </m:r>
              <m:r>
                <m:t>l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 million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Tools/storage and technician-demand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Tools organic growth vs. cons 2.0% (Q3 2026 implied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(STABILIZE)</w:t>
            </w:r>
          </w:p>
        </w:tc>
        <w:tc>
          <w:tcPr/>
          <w:p>
            <w:pPr>
              <w:pStyle w:val="Compact"/>
            </w:pPr>
            <w:r>
              <w:t xml:space="preserve">A modest EPS and organic-growth beat, helped by continued Tools/storage improvement and C&amp;I demand, should produce a positive initial reaction. But unchanged formal outlook and only modest margin upside leave FY2026 and out-year EPS math largely intact: implied FY2026 EPS ~ $20.40 versus pre-report consensus ~ $20.25, limiting estimate revisions and causing the initial gain to stabilize rather than meaningfully follow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2026-07-23T00:48:33Z</dcterms:created>
  <dcterms:modified xsi:type="dcterms:W3CDTF">2026-07-23T00:48:33Z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