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a7bc3da38474456c9804cdda9516dee1a67e43"/>
    <w:p>
      <w:pPr>
        <w:pStyle w:val="Heading1"/>
      </w:pPr>
      <w:r>
        <w:t xml:space="preserve">Snap-on (NYSE: SNA) — 2026 Q2 Earnings Preview</w:t>
      </w:r>
    </w:p>
    <w:p>
      <w:pPr>
        <w:pStyle w:val="BlockText"/>
      </w:pPr>
      <w:r>
        <w:rPr>
          <w:b/>
          <w:bCs/>
        </w:rPr>
        <w:t xml:space="preserve">Date clarification:</w:t>
      </w:r>
      <w:r>
        <w:t xml:space="preserve"> </w:t>
      </w:r>
      <w:r>
        <w:t xml:space="preserve">The stated earnings event is</w:t>
      </w:r>
      <w:r>
        <w:t xml:space="preserve"> </w:t>
      </w:r>
      <w:r>
        <w:rPr>
          <w:b/>
          <w:bCs/>
        </w:rPr>
        <w:t xml:space="preserve">July 23, 2026</w:t>
      </w:r>
      <w:r>
        <w:t xml:space="preserve">, which is</w:t>
      </w:r>
      <w:r>
        <w:t xml:space="preserve"> </w:t>
      </w:r>
      <w:r>
        <w:rPr>
          <w:b/>
          <w:bCs/>
        </w:rPr>
        <w:t xml:space="preserve">today</w:t>
      </w:r>
      <w:r>
        <w:t xml:space="preserve">, not tomorrow. This preview assumes results have not yet been released.</w:t>
      </w:r>
    </w:p>
    <w:bookmarkStart w:id="9" w:name="investment-setup"/>
    <w:p>
      <w:pPr>
        <w:pStyle w:val="Heading2"/>
      </w:pPr>
      <w:r>
        <w:t xml:space="preserve">Investment setup</w:t>
      </w:r>
    </w:p>
    <w:p>
      <w:pPr>
        <w:pStyle w:val="FirstParagraph"/>
      </w:pPr>
      <w:r>
        <w:t xml:space="preserve">Snap-on enters Q2 with improving underlying momentum but a stock that likely needs confirmation rather than merely a clean quarter. Q1 delivered</w:t>
      </w:r>
      <w:r>
        <w:t xml:space="preserve"> </w:t>
      </w:r>
      <w:r>
        <w:rPr>
          <w:b/>
          <w:bCs/>
        </w:rPr>
        <w:t xml:space="preserve">3.4% organic sales growth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EPS of $4.69</w:t>
      </w:r>
      <w:r>
        <w:t xml:space="preserve">, with broad gains in Commercial &amp; Industrial (“C&amp;I”) and Tools. The central question for Q2 is whether the signs of recovery in the technician-facing business—especially</w:t>
      </w:r>
      <w:r>
        <w:t xml:space="preserve"> </w:t>
      </w:r>
      <w:r>
        <w:rPr>
          <w:b/>
          <w:bCs/>
        </w:rPr>
        <w:t xml:space="preserve">tool storage and other larger-ticket purchases</w:t>
      </w:r>
      <w:r>
        <w:t xml:space="preserve">—are becoming durable, while C&amp;I sustains its strong start and RS&amp;I returns to organic growth.</w:t>
      </w:r>
    </w:p>
    <w:p>
      <w:pPr>
        <w:pStyle w:val="BodyText"/>
      </w:pPr>
      <w:r>
        <w:t xml:space="preserve">The shares closed at</w:t>
      </w:r>
      <w:r>
        <w:t xml:space="preserve"> </w:t>
      </w:r>
      <w:r>
        <w:rPr>
          <w:b/>
          <w:bCs/>
        </w:rPr>
        <w:t xml:space="preserve">$406.21 on July 22</w:t>
      </w:r>
      <w:r>
        <w:t xml:space="preserve">, up roughly</w:t>
      </w:r>
      <w:r>
        <w:t xml:space="preserve"> </w:t>
      </w:r>
      <w:r>
        <w:rPr>
          <w:b/>
          <w:bCs/>
        </w:rPr>
        <w:t xml:space="preserve">15.7% year to date</w:t>
      </w:r>
      <w:r>
        <w:t xml:space="preserve"> </w:t>
      </w:r>
      <w:r>
        <w:t xml:space="preserve">from $350.95 on January 2. That favorable pre-report performance raises the importance of both execution and management’s qualitative demand commentary.</w:t>
      </w:r>
    </w:p>
    <w:bookmarkEnd w:id="9"/>
    <w:bookmarkStart w:id="15" w:name="what-investors-should-focus-on"/>
    <w:p>
      <w:pPr>
        <w:pStyle w:val="Heading2"/>
      </w:pPr>
      <w:r>
        <w:t xml:space="preserve">What investors should focus on</w:t>
      </w:r>
    </w:p>
    <w:bookmarkStart w:id="10" w:name="X2ff547196aabd80c176a76a61b1b0f687c9aed4"/>
    <w:p>
      <w:pPr>
        <w:pStyle w:val="Heading3"/>
      </w:pPr>
      <w:r>
        <w:t xml:space="preserve">1. Is the Tools Group recovery broadening beyond short-payback products?</w:t>
      </w:r>
    </w:p>
    <w:p>
      <w:pPr>
        <w:pStyle w:val="FirstParagraph"/>
      </w:pPr>
      <w:r>
        <w:t xml:space="preserve">This is the most important near-term debate. Snap-on has spent the past several quarters adapting its product, manufacturing, and promotional mix toward lower-cost, quicker-payback tools, reflecting technicians’ reluctance to take on multiyear financing commitments for large tool-storage purchases.</w:t>
      </w:r>
    </w:p>
    <w:p>
      <w:pPr>
        <w:pStyle w:val="BodyText"/>
      </w:pPr>
      <w:r>
        <w:t xml:space="preserve">In Q1, that strategy appeared to work:</w:t>
      </w:r>
    </w:p>
    <w:p>
      <w:pPr>
        <w:pStyle w:val="Compact"/>
        <w:numPr>
          <w:ilvl w:val="0"/>
          <w:numId w:val="1001"/>
        </w:numPr>
      </w:pPr>
      <w:r>
        <w:t xml:space="preserve">Tools Group organic revenue grew</w:t>
      </w:r>
      <w:r>
        <w:t xml:space="preserve"> </w:t>
      </w:r>
      <w:r>
        <w:rPr>
          <w:b/>
          <w:bCs/>
        </w:rPr>
        <w:t xml:space="preserve">3.4%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Segment operating margin expanded</w:t>
      </w:r>
      <w:r>
        <w:t xml:space="preserve"> </w:t>
      </w:r>
      <w:r>
        <w:rPr>
          <w:b/>
          <w:bCs/>
        </w:rPr>
        <w:t xml:space="preserve">160 basis points</w:t>
      </w:r>
      <w:r>
        <w:t xml:space="preserve"> </w:t>
      </w:r>
      <w:r>
        <w:t xml:space="preserve">year over year to</w:t>
      </w:r>
      <w:r>
        <w:t xml:space="preserve"> </w:t>
      </w:r>
      <w:r>
        <w:rPr>
          <w:b/>
          <w:bCs/>
        </w:rPr>
        <w:t xml:space="preserve">21.6%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Management said U.S. and international sales were both up.</w:t>
      </w:r>
    </w:p>
    <w:p>
      <w:pPr>
        <w:pStyle w:val="Compact"/>
        <w:numPr>
          <w:ilvl w:val="0"/>
          <w:numId w:val="1001"/>
        </w:numPr>
      </w:pPr>
      <w:r>
        <w:t xml:space="preserve">Most notably,</w:t>
      </w:r>
      <w:r>
        <w:t xml:space="preserve"> </w:t>
      </w:r>
      <w:r>
        <w:rPr>
          <w:b/>
          <w:bCs/>
        </w:rPr>
        <w:t xml:space="preserve">tool storage returned to growth</w:t>
      </w:r>
      <w:r>
        <w:t xml:space="preserve">, with sales up more than the segment average, although management appropriately cautioned that one quarter does not establish a trend.</w:t>
      </w:r>
    </w:p>
    <w:p>
      <w:pPr>
        <w:pStyle w:val="FirstParagraph"/>
      </w:pPr>
      <w:r>
        <w:t xml:space="preserve">The Q2 read-through should be whether that improvement persisted into the spring and early summer. Investors should listen for:</w:t>
      </w:r>
    </w:p>
    <w:p>
      <w:pPr>
        <w:pStyle w:val="Compact"/>
        <w:numPr>
          <w:ilvl w:val="0"/>
          <w:numId w:val="1002"/>
        </w:numPr>
      </w:pPr>
      <w:r>
        <w:t xml:space="preserve">Sales growth in the U.S. van channel versus franchisee sell-through to technicians;</w:t>
      </w:r>
    </w:p>
    <w:p>
      <w:pPr>
        <w:pStyle w:val="Compact"/>
        <w:numPr>
          <w:ilvl w:val="0"/>
          <w:numId w:val="1002"/>
        </w:numPr>
      </w:pPr>
      <w:r>
        <w:t xml:space="preserve">The mix between hand tools, power tools, diagnostics, and tool storage;</w:t>
      </w:r>
    </w:p>
    <w:p>
      <w:pPr>
        <w:pStyle w:val="Compact"/>
        <w:numPr>
          <w:ilvl w:val="0"/>
          <w:numId w:val="1002"/>
        </w:numPr>
      </w:pPr>
      <w:r>
        <w:t xml:space="preserve">Whether the improved appetite for storage reflects broad-based customer behavior or a handful of successful new products and promotions;</w:t>
      </w:r>
    </w:p>
    <w:p>
      <w:pPr>
        <w:pStyle w:val="Compact"/>
        <w:numPr>
          <w:ilvl w:val="0"/>
          <w:numId w:val="1002"/>
        </w:numPr>
      </w:pPr>
      <w:r>
        <w:t xml:space="preserve">Finance originations and portfolio behavior, which provide an indirect indication of technicians’ willingness and ability to finance larger purchases.</w:t>
      </w:r>
    </w:p>
    <w:p>
      <w:pPr>
        <w:pStyle w:val="FirstParagraph"/>
      </w:pPr>
      <w:r>
        <w:rPr>
          <w:b/>
          <w:bCs/>
        </w:rPr>
        <w:t xml:space="preserve">Why it matters:</w:t>
      </w:r>
      <w:r>
        <w:t xml:space="preserve"> </w:t>
      </w:r>
      <w:r>
        <w:t xml:space="preserve">A sustained storage recovery would improve both the growth narrative and the perceived durability of franchisee/technician confidence. Conversely, a return to weak storage would imply that the Q1 “green shoots” were temporary.</w:t>
      </w:r>
    </w:p>
    <w:p>
      <w:r>
        <w:pict>
          <v:rect style="width:0;height:1.5pt" o:hralign="center" o:hrstd="t" o:hr="t"/>
        </w:pict>
      </w:r>
    </w:p>
    <w:bookmarkEnd w:id="10"/>
    <w:bookmarkStart w:id="11" w:name="X1c24cff4923e9ba6cf7a70195afc0fba5f37939"/>
    <w:p>
      <w:pPr>
        <w:pStyle w:val="Heading3"/>
      </w:pPr>
      <w:r>
        <w:t xml:space="preserve">2. Can C&amp;I build on a very strong Q1—and convert growth into margin?</w:t>
      </w:r>
    </w:p>
    <w:p>
      <w:pPr>
        <w:pStyle w:val="FirstParagraph"/>
      </w:pPr>
      <w:r>
        <w:t xml:space="preserve">C&amp;I was Snap-on’s strongest growth engine in Q1, with</w:t>
      </w:r>
      <w:r>
        <w:t xml:space="preserve"> </w:t>
      </w:r>
      <w:r>
        <w:rPr>
          <w:b/>
          <w:bCs/>
        </w:rPr>
        <w:t xml:space="preserve">7.1% organic sales growth</w:t>
      </w:r>
      <w:r>
        <w:t xml:space="preserve">. Critical-industries demand was particularly healthy, including aviation, heavy-duty applications, natural resources, specialty torque, and growing activity related to data-center construction. Management also views its custom-kitting capacity and deeper field-level understanding of critical work as share-gain tools, not simply cyclical exposure.</w:t>
      </w:r>
    </w:p>
    <w:p>
      <w:pPr>
        <w:pStyle w:val="BodyText"/>
      </w:pPr>
      <w:r>
        <w:t xml:space="preserve">The important caveat: C&amp;I’s Q1 operating margin declined</w:t>
      </w:r>
      <w:r>
        <w:t xml:space="preserve"> </w:t>
      </w:r>
      <w:r>
        <w:rPr>
          <w:b/>
          <w:bCs/>
        </w:rPr>
        <w:t xml:space="preserve">110 basis points to 14.4%</w:t>
      </w:r>
      <w:r>
        <w:t xml:space="preserve">, pressured by unfavorable currency, tariffs, and material costs. The segment has a more international footprint and greater exposure to cost volatility than the rest of Snap-on.</w:t>
      </w:r>
    </w:p>
    <w:p>
      <w:pPr>
        <w:pStyle w:val="BodyText"/>
      </w:pPr>
      <w:r>
        <w:t xml:space="preserve">For Q2, the key questions are:</w:t>
      </w:r>
    </w:p>
    <w:p>
      <w:pPr>
        <w:pStyle w:val="Compact"/>
        <w:numPr>
          <w:ilvl w:val="0"/>
          <w:numId w:val="1003"/>
        </w:numPr>
      </w:pPr>
      <w:r>
        <w:t xml:space="preserve">Does high-single-digit critical-industries growth continue?</w:t>
      </w:r>
    </w:p>
    <w:p>
      <w:pPr>
        <w:pStyle w:val="Compact"/>
        <w:numPr>
          <w:ilvl w:val="0"/>
          <w:numId w:val="1003"/>
        </w:numPr>
      </w:pPr>
      <w:r>
        <w:t xml:space="preserve">Is military demand improving as management anticipated, following a flat Q1?</w:t>
      </w:r>
    </w:p>
    <w:p>
      <w:pPr>
        <w:pStyle w:val="Compact"/>
        <w:numPr>
          <w:ilvl w:val="0"/>
          <w:numId w:val="1003"/>
        </w:numPr>
      </w:pPr>
      <w:r>
        <w:t xml:space="preserve">Are aviation, heavy duty, data centers, and specialty torque still contributing?</w:t>
      </w:r>
    </w:p>
    <w:p>
      <w:pPr>
        <w:pStyle w:val="Compact"/>
        <w:numPr>
          <w:ilvl w:val="0"/>
          <w:numId w:val="1003"/>
        </w:numPr>
      </w:pPr>
      <w:r>
        <w:t xml:space="preserve">Is C&amp;I margin stabilizing as tariff comparisons begin to lap the prior year’s incremental tariff burden?</w:t>
      </w:r>
    </w:p>
    <w:p>
      <w:pPr>
        <w:pStyle w:val="Compact"/>
        <w:numPr>
          <w:ilvl w:val="0"/>
          <w:numId w:val="1003"/>
        </w:numPr>
      </w:pPr>
      <w:r>
        <w:t xml:space="preserve">Is management capturing enough price, sourcing, mix, and continuous-improvement benefit to offset residual input-cost pressure?</w:t>
      </w:r>
    </w:p>
    <w:p>
      <w:pPr>
        <w:pStyle w:val="FirstParagraph"/>
      </w:pPr>
      <w:r>
        <w:rPr>
          <w:b/>
          <w:bCs/>
        </w:rPr>
        <w:t xml:space="preserve">Why it matters:</w:t>
      </w:r>
      <w:r>
        <w:t xml:space="preserve"> </w:t>
      </w:r>
      <w:r>
        <w:t xml:space="preserve">C&amp;I has the clearest opportunity for upside to revenue expectations, but it also has the largest margin-recovery burden.</w:t>
      </w:r>
    </w:p>
    <w:p>
      <w:r>
        <w:pict>
          <v:rect style="width:0;height:1.5pt" o:hralign="center" o:hrstd="t" o:hr="t"/>
        </w:pict>
      </w:r>
    </w:p>
    <w:bookmarkEnd w:id="11"/>
    <w:bookmarkStart w:id="12" w:name="Xa703fa628b05c51f21ebeb0529df4837d4121d4"/>
    <w:p>
      <w:pPr>
        <w:pStyle w:val="Heading3"/>
      </w:pPr>
      <w:r>
        <w:t xml:space="preserve">3. RS&amp;I: watch for an organic-growth rebound and the timing of OEM programs</w:t>
      </w:r>
    </w:p>
    <w:p>
      <w:pPr>
        <w:pStyle w:val="FirstParagraph"/>
      </w:pPr>
      <w:r>
        <w:t xml:space="preserve">Repair Systems &amp; Information (“RS&amp;I”) posted its highest quarterly sales ever in Q1, but that was primarily aided by currency. Organic performance was only slightly positive, as better sales of diagnostics and repair-information products to independent repair shops were offset by weaker OEM dealership activity.</w:t>
      </w:r>
    </w:p>
    <w:p>
      <w:pPr>
        <w:pStyle w:val="BodyText"/>
      </w:pPr>
      <w:r>
        <w:t xml:space="preserve">The OEM-equipment and systems business is structurally attractive but</w:t>
      </w:r>
      <w:r>
        <w:t xml:space="preserve"> </w:t>
      </w:r>
      <w:r>
        <w:rPr>
          <w:b/>
          <w:bCs/>
        </w:rPr>
        <w:t xml:space="preserve">lumpy</w:t>
      </w:r>
      <w:r>
        <w:t xml:space="preserve">: timing of vehicle-program launches can move results between quarters. Management has argued that Snap-on is increasingly the “go-to” supplier for OEM repairability programs, but Q1 was a weak comparison point because North American OEM-program activity declined.</w:t>
      </w:r>
    </w:p>
    <w:p>
      <w:pPr>
        <w:pStyle w:val="BodyText"/>
      </w:pPr>
      <w:r>
        <w:t xml:space="preserve">Items to watch:</w:t>
      </w:r>
    </w:p>
    <w:p>
      <w:pPr>
        <w:pStyle w:val="Compact"/>
        <w:numPr>
          <w:ilvl w:val="0"/>
          <w:numId w:val="1004"/>
        </w:numPr>
      </w:pPr>
      <w:r>
        <w:t xml:space="preserve">Whether OEM dealership demand rebounds;</w:t>
      </w:r>
    </w:p>
    <w:p>
      <w:pPr>
        <w:pStyle w:val="Compact"/>
        <w:numPr>
          <w:ilvl w:val="0"/>
          <w:numId w:val="1004"/>
        </w:numPr>
      </w:pPr>
      <w:r>
        <w:t xml:space="preserve">Diagnostic-tool sales, especially following recent product launches;</w:t>
      </w:r>
    </w:p>
    <w:p>
      <w:pPr>
        <w:pStyle w:val="Compact"/>
        <w:numPr>
          <w:ilvl w:val="0"/>
          <w:numId w:val="1004"/>
        </w:numPr>
      </w:pPr>
      <w:r>
        <w:t xml:space="preserve">Growth in repair information, shop-management software, electronic parts catalogs, and other subscription-oriented products;</w:t>
      </w:r>
    </w:p>
    <w:p>
      <w:pPr>
        <w:pStyle w:val="Compact"/>
        <w:numPr>
          <w:ilvl w:val="0"/>
          <w:numId w:val="1004"/>
        </w:numPr>
      </w:pPr>
      <w:r>
        <w:t xml:space="preserve">The payoff from elevated investments in proprietary databases, software, and large-language-model capabilities;</w:t>
      </w:r>
    </w:p>
    <w:p>
      <w:pPr>
        <w:pStyle w:val="Compact"/>
        <w:numPr>
          <w:ilvl w:val="0"/>
          <w:numId w:val="1004"/>
        </w:numPr>
      </w:pPr>
      <w:r>
        <w:t xml:space="preserve">RS&amp;I margin, which was</w:t>
      </w:r>
      <w:r>
        <w:t xml:space="preserve"> </w:t>
      </w:r>
      <w:r>
        <w:rPr>
          <w:b/>
          <w:bCs/>
        </w:rPr>
        <w:t xml:space="preserve">24.6%</w:t>
      </w:r>
      <w:r>
        <w:t xml:space="preserve"> </w:t>
      </w:r>
      <w:r>
        <w:t xml:space="preserve">in Q1, down from 25.7% a year earlier because of FX and technology investment.</w:t>
      </w:r>
    </w:p>
    <w:p>
      <w:pPr>
        <w:pStyle w:val="FirstParagraph"/>
      </w:pPr>
      <w:r>
        <w:rPr>
          <w:b/>
          <w:bCs/>
        </w:rPr>
        <w:t xml:space="preserve">Why it matters:</w:t>
      </w:r>
      <w:r>
        <w:t xml:space="preserve"> </w:t>
      </w:r>
      <w:r>
        <w:t xml:space="preserve">RS&amp;I remains Snap-on’s highest-margin operating segment. A return to organic growth without further margin erosion would materially strengthen the Q2 report.</w:t>
      </w:r>
    </w:p>
    <w:p>
      <w:r>
        <w:pict>
          <v:rect style="width:0;height:1.5pt" o:hralign="center" o:hrstd="t" o:hr="t"/>
        </w:pict>
      </w:r>
    </w:p>
    <w:bookmarkEnd w:id="12"/>
    <w:bookmarkStart w:id="13" w:name="Xfbb70510aa0100cafe79eeea13d392e523daae5"/>
    <w:p>
      <w:pPr>
        <w:pStyle w:val="Heading3"/>
      </w:pPr>
      <w:r>
        <w:t xml:space="preserve">4. Gross-margin resilience versus tariffs, FX, and investments</w:t>
      </w:r>
    </w:p>
    <w:p>
      <w:pPr>
        <w:pStyle w:val="FirstParagraph"/>
      </w:pPr>
      <w:r>
        <w:t xml:space="preserve">Snap-on’s ability to defend gross margin is a core part of its investment case. In Q1, consolidated gross margin was</w:t>
      </w:r>
      <w:r>
        <w:t xml:space="preserve"> </w:t>
      </w:r>
      <w:r>
        <w:rPr>
          <w:b/>
          <w:bCs/>
        </w:rPr>
        <w:t xml:space="preserve">50.4%</w:t>
      </w:r>
      <w:r>
        <w:t xml:space="preserve">, down only 30 basis points year over year despite a</w:t>
      </w:r>
      <w:r>
        <w:t xml:space="preserve"> </w:t>
      </w:r>
      <w:r>
        <w:rPr>
          <w:b/>
          <w:bCs/>
        </w:rPr>
        <w:t xml:space="preserve">40-basis-point FX headwind</w:t>
      </w:r>
      <w:r>
        <w:t xml:space="preserve"> </w:t>
      </w:r>
      <w:r>
        <w:t xml:space="preserve">and higher tariffs/material costs. Management attributed the resilience to volume leverage and Rapid Continuous Improvement initiatives.</w:t>
      </w:r>
    </w:p>
    <w:p>
      <w:pPr>
        <w:pStyle w:val="BodyText"/>
      </w:pPr>
      <w:r>
        <w:t xml:space="preserve">The second quarter may provide a cleaner comparison because the company said many incremental tariffs did not begin until Q2 2025. That does not eliminate absolute tariff exposure, but it reduces the year-over-year comparison burden.</w:t>
      </w:r>
    </w:p>
    <w:p>
      <w:pPr>
        <w:pStyle w:val="BodyText"/>
      </w:pPr>
      <w:r>
        <w:t xml:space="preserve">The Q2 margin scorecard: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Q1 2026 result</w:t>
            </w:r>
          </w:p>
        </w:tc>
        <w:tc>
          <w:tcPr/>
          <w:p>
            <w:pPr>
              <w:pStyle w:val="Compact"/>
            </w:pPr>
            <w:r>
              <w:t xml:space="preserve">What would be constructive in Q2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Consolidated gross margin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50.4%</w:t>
            </w:r>
          </w:p>
        </w:tc>
        <w:tc>
          <w:tcPr/>
          <w:p>
            <w:pPr>
              <w:pStyle w:val="Compact"/>
            </w:pPr>
            <w:r>
              <w:t xml:space="preserve">Stable-to-improving year-over-year performance despite FX and material costs</w:t>
            </w:r>
          </w:p>
        </w:tc>
      </w:tr>
      <w:tr>
        <w:tc>
          <w:tcPr/>
          <w:p>
            <w:pPr>
              <w:pStyle w:val="Compact"/>
            </w:pPr>
            <w:r>
              <w:t xml:space="preserve">Operating margin before Financial Services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20.8%</w:t>
            </w:r>
          </w:p>
        </w:tc>
        <w:tc>
          <w:tcPr/>
          <w:p>
            <w:pPr>
              <w:pStyle w:val="Compact"/>
            </w:pPr>
            <w:r>
              <w:t xml:space="preserve">Improvement supported by volume, mix, and cost actions</w:t>
            </w:r>
          </w:p>
        </w:tc>
      </w:tr>
      <w:tr>
        <w:tc>
          <w:tcPr/>
          <w:p>
            <w:pPr>
              <w:pStyle w:val="Compact"/>
            </w:pPr>
            <w:r>
              <w:t xml:space="preserve">Tools margin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21.6%</w:t>
            </w:r>
          </w:p>
        </w:tc>
        <w:tc>
          <w:tcPr/>
          <w:p>
            <w:pPr>
              <w:pStyle w:val="Compact"/>
            </w:pPr>
            <w:r>
              <w:t xml:space="preserve">Preservation of Q1’s strong incremental margins</w:t>
            </w:r>
          </w:p>
        </w:tc>
      </w:tr>
      <w:tr>
        <w:tc>
          <w:tcPr/>
          <w:p>
            <w:pPr>
              <w:pStyle w:val="Compact"/>
            </w:pPr>
            <w:r>
              <w:t xml:space="preserve">C&amp;I margin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14.4%</w:t>
            </w:r>
          </w:p>
        </w:tc>
        <w:tc>
          <w:tcPr/>
          <w:p>
            <w:pPr>
              <w:pStyle w:val="Compact"/>
            </w:pPr>
            <w:r>
              <w:t xml:space="preserve">Sequential/year-over-year stabilization as cost pressures ease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RS&amp;I margin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24.6%</w:t>
            </w:r>
          </w:p>
        </w:tc>
        <w:tc>
          <w:tcPr/>
          <w:p>
            <w:pPr>
              <w:pStyle w:val="Compact"/>
            </w:pPr>
            <w:r>
              <w:t xml:space="preserve">Limited dilution from technology investment and FX</w:t>
            </w:r>
          </w:p>
        </w:tc>
      </w:tr>
    </w:tbl>
    <w:p>
      <w:pPr>
        <w:pStyle w:val="BodyText"/>
      </w:pPr>
      <w:r>
        <w:t xml:space="preserve">Management’s commentary on tariffs deserves attention, but investors should distinguish between:</w:t>
      </w:r>
      <w:r>
        <w:t xml:space="preserve"> </w:t>
      </w:r>
      <w:r>
        <w:rPr>
          <w:b/>
          <w:bCs/>
        </w:rPr>
        <w:t xml:space="preserve">(1) underlying operating mitigation</w:t>
      </w:r>
      <w:r>
        <w:t xml:space="preserve">, which matters; and</w:t>
      </w:r>
      <w:r>
        <w:t xml:space="preserve"> </w:t>
      </w:r>
      <w:r>
        <w:rPr>
          <w:b/>
          <w:bCs/>
        </w:rPr>
        <w:t xml:space="preserve">(2) potential tariff refunds</w:t>
      </w:r>
      <w:r>
        <w:t xml:space="preserve">, which management previously said it was not depending on.</w:t>
      </w:r>
    </w:p>
    <w:p>
      <w:r>
        <w:pict>
          <v:rect style="width:0;height:1.5pt" o:hralign="center" o:hrstd="t" o:hr="t"/>
        </w:pict>
      </w:r>
    </w:p>
    <w:bookmarkEnd w:id="13"/>
    <w:bookmarkStart w:id="14" w:name="X27a450548a82797798a7b840e6352574a08371c"/>
    <w:p>
      <w:pPr>
        <w:pStyle w:val="Heading3"/>
      </w:pPr>
      <w:r>
        <w:t xml:space="preserve">5. Financial Services remains a useful demand and credit-health indicator</w:t>
      </w:r>
    </w:p>
    <w:p>
      <w:pPr>
        <w:pStyle w:val="FirstParagraph"/>
      </w:pPr>
      <w:r>
        <w:t xml:space="preserve">Financial Services is not the primary growth engine, but it is important because Snap-on financing supports the franchise network and technician purchases.</w:t>
      </w:r>
    </w:p>
    <w:p>
      <w:pPr>
        <w:pStyle w:val="BodyText"/>
      </w:pPr>
      <w:r>
        <w:t xml:space="preserve">In Q1:</w:t>
      </w:r>
    </w:p>
    <w:p>
      <w:pPr>
        <w:pStyle w:val="Compact"/>
        <w:numPr>
          <w:ilvl w:val="0"/>
          <w:numId w:val="1005"/>
        </w:numPr>
      </w:pPr>
      <w:r>
        <w:t xml:space="preserve">Financial Services revenue was</w:t>
      </w:r>
      <w:r>
        <w:t xml:space="preserve"> </w:t>
      </w:r>
      <w:r>
        <w:rPr>
          <w:b/>
          <w:bCs/>
        </w:rPr>
        <w:t xml:space="preserve">$101.1 million</w:t>
      </w:r>
      <w:r>
        <w:t xml:space="preserve">, down 1% year over year.</w:t>
      </w:r>
    </w:p>
    <w:p>
      <w:pPr>
        <w:pStyle w:val="Compact"/>
        <w:numPr>
          <w:ilvl w:val="0"/>
          <w:numId w:val="1005"/>
        </w:numPr>
      </w:pPr>
      <w:r>
        <w:t xml:space="preserve">Operating earnings were</w:t>
      </w:r>
      <w:r>
        <w:t xml:space="preserve"> </w:t>
      </w:r>
      <w:r>
        <w:rPr>
          <w:b/>
          <w:bCs/>
        </w:rPr>
        <w:t xml:space="preserve">$68.0 million</w:t>
      </w:r>
      <w:r>
        <w:t xml:space="preserve">, down 3.3%.</w:t>
      </w:r>
    </w:p>
    <w:p>
      <w:pPr>
        <w:pStyle w:val="Compact"/>
        <w:numPr>
          <w:ilvl w:val="0"/>
          <w:numId w:val="1005"/>
        </w:numPr>
      </w:pPr>
      <w:r>
        <w:t xml:space="preserve">Originations declined</w:t>
      </w:r>
      <w:r>
        <w:t xml:space="preserve"> </w:t>
      </w:r>
      <w:r>
        <w:rPr>
          <w:b/>
          <w:bCs/>
        </w:rPr>
        <w:t xml:space="preserve">1.5%</w:t>
      </w:r>
      <w:r>
        <w:t xml:space="preserve"> </w:t>
      </w:r>
      <w:r>
        <w:t xml:space="preserve">to</w:t>
      </w:r>
      <w:r>
        <w:t xml:space="preserve"> </w:t>
      </w:r>
      <w:r>
        <w:rPr>
          <w:b/>
          <w:bCs/>
        </w:rPr>
        <w:t xml:space="preserve">$264.6 million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r>
        <w:t xml:space="preserve">U.S. extended-credit 60+ day delinquencies were</w:t>
      </w:r>
      <w:r>
        <w:t xml:space="preserve"> </w:t>
      </w:r>
      <w:r>
        <w:rPr>
          <w:b/>
          <w:bCs/>
        </w:rPr>
        <w:t xml:space="preserve">1.9%</w:t>
      </w:r>
      <w:r>
        <w:t xml:space="preserve">, down year over year and sequentially.</w:t>
      </w:r>
    </w:p>
    <w:p>
      <w:pPr>
        <w:pStyle w:val="Compact"/>
        <w:numPr>
          <w:ilvl w:val="0"/>
          <w:numId w:val="1005"/>
        </w:numPr>
      </w:pPr>
      <w:r>
        <w:t xml:space="preserve">Trailing-12-month net losses on the extended-credit portfolio were</w:t>
      </w:r>
      <w:r>
        <w:t xml:space="preserve"> </w:t>
      </w:r>
      <w:r>
        <w:rPr>
          <w:b/>
          <w:bCs/>
        </w:rPr>
        <w:t xml:space="preserve">3.75%</w:t>
      </w:r>
      <w:r>
        <w:t xml:space="preserve"> </w:t>
      </w:r>
      <w:r>
        <w:t xml:space="preserve">of outstandings.</w:t>
      </w:r>
    </w:p>
    <w:p>
      <w:pPr>
        <w:pStyle w:val="FirstParagraph"/>
      </w:pPr>
      <w:r>
        <w:t xml:space="preserve">For Q2, investors should watch originations, delinquencies, loss provisions, yields, and portfolio balances. Improving storage demand accompanied by a pickup in originations—without credit deterioration—would be a meaningful validation of the Tools recovery.</w:t>
      </w:r>
    </w:p>
    <w:p>
      <w:r>
        <w:pict>
          <v:rect style="width:0;height:1.5pt" o:hralign="center" o:hrstd="t" o:hr="t"/>
        </w:pict>
      </w:r>
    </w:p>
    <w:bookmarkEnd w:id="14"/>
    <w:bookmarkEnd w:id="15"/>
    <w:bookmarkStart w:id="16" w:name="baseline-comparison-q2-2025"/>
    <w:p>
      <w:pPr>
        <w:pStyle w:val="Heading2"/>
      </w:pPr>
      <w:r>
        <w:t xml:space="preserve">Baseline comparison: Q2 2025</w:t>
      </w:r>
    </w:p>
    <w:p>
      <w:pPr>
        <w:pStyle w:val="FirstParagraph"/>
      </w:pPr>
      <w:r>
        <w:t xml:space="preserve">Snap-on is lapping a mixed Q2 2025:</w:t>
      </w:r>
    </w:p>
    <w:p>
      <w:pPr>
        <w:pStyle w:val="Compact"/>
        <w:numPr>
          <w:ilvl w:val="0"/>
          <w:numId w:val="1006"/>
        </w:numPr>
      </w:pPr>
      <w:r>
        <w:t xml:space="preserve">Revenue:</w:t>
      </w:r>
      <w:r>
        <w:t xml:space="preserve"> </w:t>
      </w:r>
      <w:r>
        <w:rPr>
          <w:b/>
          <w:bCs/>
        </w:rPr>
        <w:t xml:space="preserve">$1.179 billion</w:t>
      </w:r>
      <w:r>
        <w:t xml:space="preserve">, flat year over year;</w:t>
      </w:r>
    </w:p>
    <w:p>
      <w:pPr>
        <w:pStyle w:val="Compact"/>
        <w:numPr>
          <w:ilvl w:val="0"/>
          <w:numId w:val="1006"/>
        </w:numPr>
      </w:pPr>
      <w:r>
        <w:t xml:space="preserve">Organic sales:</w:t>
      </w:r>
      <w:r>
        <w:t xml:space="preserve"> </w:t>
      </w:r>
      <w:r>
        <w:rPr>
          <w:b/>
          <w:bCs/>
        </w:rPr>
        <w:t xml:space="preserve">down 0.7%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Diluted EPS:</w:t>
      </w:r>
      <w:r>
        <w:t xml:space="preserve"> </w:t>
      </w:r>
      <w:r>
        <w:rPr>
          <w:b/>
          <w:bCs/>
        </w:rPr>
        <w:t xml:space="preserve">$4.72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Gross margin:</w:t>
      </w:r>
      <w:r>
        <w:t xml:space="preserve"> </w:t>
      </w:r>
      <w:r>
        <w:rPr>
          <w:b/>
          <w:bCs/>
        </w:rPr>
        <w:t xml:space="preserve">50.5%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Operating margin before Financial Services:</w:t>
      </w:r>
      <w:r>
        <w:t xml:space="preserve"> </w:t>
      </w:r>
      <w:r>
        <w:rPr>
          <w:b/>
          <w:bCs/>
        </w:rPr>
        <w:t xml:space="preserve">22.0%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Tools organic sales:</w:t>
      </w:r>
      <w:r>
        <w:t xml:space="preserve"> </w:t>
      </w:r>
      <w:r>
        <w:rPr>
          <w:b/>
          <w:bCs/>
        </w:rPr>
        <w:t xml:space="preserve">up 1.6%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RS&amp;I organic sales:</w:t>
      </w:r>
      <w:r>
        <w:t xml:space="preserve"> </w:t>
      </w:r>
      <w:r>
        <w:rPr>
          <w:b/>
          <w:bCs/>
        </w:rPr>
        <w:t xml:space="preserve">up 2.3%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C&amp;I organic sales:</w:t>
      </w:r>
      <w:r>
        <w:t xml:space="preserve"> </w:t>
      </w:r>
      <w:r>
        <w:rPr>
          <w:b/>
          <w:bCs/>
        </w:rPr>
        <w:t xml:space="preserve">down 7.6%</w:t>
      </w:r>
      <w:r>
        <w:t xml:space="preserve">.</w:t>
      </w:r>
    </w:p>
    <w:p>
      <w:pPr>
        <w:pStyle w:val="FirstParagraph"/>
      </w:pPr>
      <w:r>
        <w:t xml:space="preserve">The setup is therefore favorable for C&amp;I growth comparisons, reasonably constructive for Tools, and more demanding for RS&amp;I given last year’s positive organic growth and OEM contribution.</w:t>
      </w:r>
    </w:p>
    <w:bookmarkEnd w:id="16"/>
    <w:bookmarkStart w:id="17" w:name="what-would-constitute-a-strong-report"/>
    <w:p>
      <w:pPr>
        <w:pStyle w:val="Heading2"/>
      </w:pPr>
      <w:r>
        <w:t xml:space="preserve">What would constitute a strong report</w:t>
      </w:r>
    </w:p>
    <w:p>
      <w:pPr>
        <w:pStyle w:val="FirstParagraph"/>
      </w:pPr>
      <w:r>
        <w:t xml:space="preserve">A constructive Q2 outcome would likely include: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Positive consolidated organic growth</w:t>
      </w:r>
      <w:r>
        <w:t xml:space="preserve">, supported by C&amp;I and Tools rather than foreign exchange alone.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Sustained Tools growth</w:t>
      </w:r>
      <w:r>
        <w:t xml:space="preserve">, with credible evidence that tool-storage improvement is continuing.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C&amp;I growth remaining robust</w:t>
      </w:r>
      <w:r>
        <w:t xml:space="preserve">, with margin pressure moderating.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RS&amp;I returning to clearer organic growth</w:t>
      </w:r>
      <w:r>
        <w:t xml:space="preserve">, especially through diagnostics, information products, and/or an OEM-program recovery.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Gross-margin resilience</w:t>
      </w:r>
      <w:r>
        <w:t xml:space="preserve">, demonstrating that tariffs and material inflation are manageable.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Stable Financial Services credit metrics</w:t>
      </w:r>
      <w:r>
        <w:t xml:space="preserve"> </w:t>
      </w:r>
      <w:r>
        <w:t xml:space="preserve">and at least stable originations.</w:t>
      </w:r>
    </w:p>
    <w:p>
      <w:pPr>
        <w:pStyle w:val="Compact"/>
        <w:numPr>
          <w:ilvl w:val="0"/>
          <w:numId w:val="1007"/>
        </w:numPr>
      </w:pPr>
      <w:r>
        <w:t xml:space="preserve">Continued full-year assumptions for approximately</w:t>
      </w:r>
      <w:r>
        <w:t xml:space="preserve"> </w:t>
      </w:r>
      <m:oMath>
        <m:r>
          <m:t>100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o</m:t>
        </m:r>
        <m:r>
          <m:t>f</m:t>
        </m:r>
        <m:r>
          <m:t>c</m:t>
        </m:r>
        <m:r>
          <m:t>a</m:t>
        </m:r>
        <m:r>
          <m:t>p</m:t>
        </m:r>
        <m:r>
          <m:t>e</m:t>
        </m:r>
        <m:r>
          <m:t>x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a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22</m:t>
        </m:r>
      </m:oMath>
      <w:r>
        <w:rPr>
          <w:b/>
          <w:bCs/>
        </w:rPr>
        <w:t xml:space="preserve">28 million per quarter</w:t>
      </w:r>
      <w:r>
        <w:t xml:space="preserve">.</w:t>
      </w:r>
    </w:p>
    <w:bookmarkEnd w:id="17"/>
    <w:bookmarkStart w:id="18" w:name="what-could-disappoint"/>
    <w:p>
      <w:pPr>
        <w:pStyle w:val="Heading2"/>
      </w:pPr>
      <w:r>
        <w:t xml:space="preserve">What could disappoint</w:t>
      </w:r>
    </w:p>
    <w:p>
      <w:pPr>
        <w:pStyle w:val="FirstParagraph"/>
      </w:pPr>
      <w:r>
        <w:t xml:space="preserve">The principal risks heading into the call are:</w:t>
      </w:r>
    </w:p>
    <w:p>
      <w:pPr>
        <w:pStyle w:val="Compact"/>
        <w:numPr>
          <w:ilvl w:val="0"/>
          <w:numId w:val="1008"/>
        </w:numPr>
      </w:pPr>
      <w:r>
        <w:t xml:space="preserve">Tool storage reverting to decline, indicating technician caution remains entrenched;</w:t>
      </w:r>
    </w:p>
    <w:p>
      <w:pPr>
        <w:pStyle w:val="Compact"/>
        <w:numPr>
          <w:ilvl w:val="0"/>
          <w:numId w:val="1008"/>
        </w:numPr>
      </w:pPr>
      <w:r>
        <w:t xml:space="preserve">C&amp;I revenue holding up but margins remaining pressured by tariffs, materials, and FX;</w:t>
      </w:r>
    </w:p>
    <w:p>
      <w:pPr>
        <w:pStyle w:val="Compact"/>
        <w:numPr>
          <w:ilvl w:val="0"/>
          <w:numId w:val="1008"/>
        </w:numPr>
      </w:pPr>
      <w:r>
        <w:t xml:space="preserve">Further OEM-program weakness in RS&amp;I;</w:t>
      </w:r>
    </w:p>
    <w:p>
      <w:pPr>
        <w:pStyle w:val="Compact"/>
        <w:numPr>
          <w:ilvl w:val="0"/>
          <w:numId w:val="1008"/>
        </w:numPr>
      </w:pPr>
      <w:r>
        <w:t xml:space="preserve">A miss in Financial Services originations or worsening credit losses;</w:t>
      </w:r>
    </w:p>
    <w:p>
      <w:pPr>
        <w:pStyle w:val="Compact"/>
        <w:numPr>
          <w:ilvl w:val="0"/>
          <w:numId w:val="1008"/>
        </w:numPr>
      </w:pPr>
      <w:r>
        <w:t xml:space="preserve">Management tempering its view on technician confidence, franchisee economics, or the demand backdrop;</w:t>
      </w:r>
    </w:p>
    <w:p>
      <w:pPr>
        <w:pStyle w:val="Compact"/>
        <w:numPr>
          <w:ilvl w:val="0"/>
          <w:numId w:val="1008"/>
        </w:numPr>
      </w:pPr>
      <w:r>
        <w:t xml:space="preserve">Strong reported revenue driven primarily by favorable currency rather than organic growth.</w:t>
      </w:r>
    </w:p>
    <w:bookmarkEnd w:id="18"/>
    <w:bookmarkStart w:id="19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Snap-on’s Q2 report is principally a test of whether its Q1 improvement is</w:t>
      </w:r>
      <w:r>
        <w:t xml:space="preserve"> </w:t>
      </w:r>
      <w:r>
        <w:rPr>
          <w:b/>
          <w:bCs/>
        </w:rPr>
        <w:t xml:space="preserve">becoming a broader, self-sustaining recovery</w:t>
      </w:r>
      <w:r>
        <w:t xml:space="preserve">. The highest-value evidence would be continued growth in the Tools Group—including large-ticket storage—combined with durable C&amp;I momentum and a reacceleration in RS&amp;I. Margin performance is equally important: Snap-on has so far defended profitability effectively, and Q2 should reveal whether the tariff and cost headwinds are now becoming easier comparisons rather than a persistent drag.</w:t>
      </w:r>
    </w:p>
    <w:p>
      <w:pPr>
        <w:pStyle w:val="BodyText"/>
      </w:pPr>
      <w:r>
        <w:t xml:space="preserve">The most consequential management commentary will likely concern</w:t>
      </w:r>
      <w:r>
        <w:t xml:space="preserve"> </w:t>
      </w:r>
      <w:r>
        <w:rPr>
          <w:b/>
          <w:bCs/>
        </w:rPr>
        <w:t xml:space="preserve">technician confidence, tool-storage demand, franchisee sell-through, C&amp;I margin recovery, OEM-program timing, and Financial Services originations/credit quality</w:t>
      </w:r>
      <w:r>
        <w:t xml:space="preserve">.</w:t>
      </w:r>
    </w:p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2026-07-23T00:48:33Z</dcterms:created>
  <dcterms:modified xsi:type="dcterms:W3CDTF">2026-07-23T00:48:33Z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