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Snap-on Incorporated (SNA) — Q2 2026 Earnings Preview</w:t>
      </w:r>
    </w:p>
    <w:p>
      <w:r>
        <w:rPr>
          <w:rFonts w:ascii="Calibri" w:hAnsi="Calibri"/>
          <w:b/>
          <w:color w:val="525866"/>
          <w:sz w:val="22"/>
        </w:rPr>
        <w:t xml:space="preserve">Ticker: </w:t>
      </w:r>
      <w:r>
        <w:rPr>
          <w:rFonts w:ascii="Calibri" w:hAnsi="Calibri"/>
          <w:color w:val="525866"/>
          <w:sz w:val="22"/>
        </w:rPr>
        <w:t xml:space="preserve">SNA  </w:t>
      </w:r>
      <w:r>
        <w:rPr>
          <w:rFonts w:ascii="Calibri" w:hAnsi="Calibri"/>
          <w:b/>
          <w:color w:val="525866"/>
          <w:sz w:val="22"/>
        </w:rPr>
        <w:t xml:space="preserve">Upcoming Earnings: </w:t>
      </w:r>
      <w:r>
        <w:rPr>
          <w:rFonts w:ascii="Calibri" w:hAnsi="Calibri"/>
          <w:color w:val="525866"/>
          <w:sz w:val="22"/>
        </w:rPr>
        <w:t xml:space="preserve">July 23, 2026 (Before Market Open)  </w:t>
      </w:r>
      <w:r>
        <w:rPr>
          <w:rFonts w:ascii="Calibri" w:hAnsi="Calibri"/>
          <w:b/>
          <w:color w:val="525866"/>
          <w:sz w:val="22"/>
        </w:rPr>
        <w:t xml:space="preserve">Prepared: </w:t>
      </w:r>
      <w:r>
        <w:rPr>
          <w:rFonts w:ascii="Calibri" w:hAnsi="Calibri"/>
          <w:color w:val="525866"/>
          <w:sz w:val="22"/>
        </w:rPr>
        <w:t>July 22,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beatable bar on revenue (~$1.22B) and operating EPS (~$4.93), and the single biggest swing factor is whether the nascent recovery in tool storage and technician confidence seen in Q1 continues to build, or stalls amid persistent macro uncertainty.</w:t>
      </w:r>
    </w:p>
    <w:p>
      <w:r>
        <w:rPr>
          <w:rFonts w:ascii="Calibri" w:hAnsi="Calibri"/>
          <w:b/>
          <w:color w:val="525866"/>
          <w:sz w:val="22"/>
        </w:rPr>
        <w:t xml:space="preserve">Bar: </w:t>
      </w:r>
      <w:r>
        <w:rPr>
          <w:rFonts w:ascii="Calibri" w:hAnsi="Calibri"/>
          <w:color w:val="525866"/>
          <w:sz w:val="22"/>
        </w:rPr>
        <w:t xml:space="preserve">Consensus is calling for Q2 2026 operating EPS of ~$4.93 and revenue of ~$1.22B — both represent modest year-over-year growth and sit below the Q1 2026 actual revenue of $1.21B on a sequential basis, implying the Street is not pricing in a dramatic acceleration. </w:t>
      </w:r>
      <w:r>
        <w:rPr>
          <w:rFonts w:ascii="Calibri" w:hAnsi="Calibri"/>
          <w:b/>
          <w:color w:val="525866"/>
          <w:sz w:val="22"/>
        </w:rPr>
        <w:t xml:space="preserve">Guidance/Tone: </w:t>
      </w:r>
      <w:r>
        <w:rPr>
          <w:rFonts w:ascii="Calibri" w:hAnsi="Calibri"/>
          <w:color w:val="525866"/>
          <w:sz w:val="22"/>
        </w:rPr>
        <w:t xml:space="preserve">Management's posture has shifted meaningfully more constructive since Q4 2025 — at the May 2026 Oppenheimer conference, CEO Pinchuk described C&amp;I critical industries at their highest level in nearly two years, franchisee sentiment as broadly optimistic, and tariff comparisons becoming progressively easier through Q2–Q4 2026 as prior-year headwinds are lapped. </w:t>
      </w:r>
      <w:r>
        <w:rPr>
          <w:rFonts w:ascii="Calibri" w:hAnsi="Calibri"/>
          <w:b/>
          <w:color w:val="525866"/>
          <w:sz w:val="22"/>
        </w:rPr>
        <w:t xml:space="preserve">Estimate Trajectory: </w:t>
      </w:r>
      <w:r>
        <w:rPr>
          <w:rFonts w:ascii="Calibri" w:hAnsi="Calibri"/>
          <w:color w:val="525866"/>
          <w:sz w:val="22"/>
        </w:rPr>
        <w:t xml:space="preserve">Estimates for Q2 2026 operating EPS have been essentially stable since the Q1 print (~$4.93 current vs. ~$4.93 post-Q1 baseline), suggesting the Street has not yet fully priced in the improving tone — a potential cushion. </w:t>
      </w:r>
      <w:r>
        <w:rPr>
          <w:rFonts w:ascii="Calibri" w:hAnsi="Calibri"/>
          <w:b/>
          <w:color w:val="525866"/>
          <w:sz w:val="22"/>
        </w:rPr>
        <w:t xml:space="preserve">Stock Setup: </w:t>
      </w:r>
      <w:r>
        <w:rPr>
          <w:rFonts w:ascii="Calibri" w:hAnsi="Calibri"/>
          <w:color w:val="525866"/>
          <w:sz w:val="22"/>
        </w:rPr>
        <w:t xml:space="preserve">SNA has risen ~3.9% since the Q1 2026 earnings date (vs. XLI +2.7%), modestly outperforming the industrials sector, but the stock is not stretched — it trades at a modest premium to historical averages, leaving room for a positive re-rating if the recovery narrative firms up. </w:t>
      </w:r>
      <w:r>
        <w:rPr>
          <w:rFonts w:ascii="Calibri" w:hAnsi="Calibri"/>
          <w:b/>
          <w:color w:val="525866"/>
          <w:sz w:val="22"/>
        </w:rPr>
        <w:t xml:space="preserve">Wildcard: </w:t>
      </w:r>
      <w:r>
        <w:rPr>
          <w:rFonts w:ascii="Calibri" w:hAnsi="Calibri"/>
          <w:color w:val="525866"/>
          <w:sz w:val="22"/>
        </w:rPr>
        <w:t>The key wildcard is the trajectory of originations and tool storage demand — Q1 saw the first year-over-year increase in tool storage units in an extended period, and a second consecutive quarter of improvement would meaningfully validate the 'early thaw' thesis and likely drive upside to both estimates and the multiple.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beatable bar on both revenue and EPS heading into Q2 2026, with the Tools Group operating margin the bigger swing factor — any continuation of the Q1 expansion trend would likely drive a positive surprise. The gross margin line is the most watched bellwether for tariff and cost resilience.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$1,207.2M</w:t>
            </w:r>
          </w:p>
        </w:tc>
        <w:tc>
          <w:tcPr>
            <w:tcW w:type="dxa" w:w="1234"/>
          </w:tcPr>
          <w:p>
            <w:r>
              <w:rPr>
                <w:rFonts w:ascii="Calibri" w:hAnsi="Calibri"/>
                <w:sz w:val="22"/>
              </w:rPr>
              <w:t>$1,179.4M</w:t>
            </w:r>
          </w:p>
        </w:tc>
        <w:tc>
          <w:tcPr>
            <w:tcW w:type="dxa" w:w="1234"/>
          </w:tcPr>
          <w:p>
            <w:r>
              <w:rPr>
                <w:rFonts w:ascii="Calibri" w:hAnsi="Calibri"/>
                <w:sz w:val="22"/>
              </w:rPr>
              <w:t>$1,218.9M</w:t>
            </w:r>
          </w:p>
        </w:tc>
        <w:tc>
          <w:tcPr>
            <w:tcW w:type="dxa" w:w="1234"/>
          </w:tcPr>
          <w:p>
            <w:r>
              <w:rPr>
                <w:rFonts w:ascii="Calibri" w:hAnsi="Calibri"/>
                <w:sz w:val="22"/>
              </w:rPr>
              <w:t>+3.4%</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Operating EPS (Diluted)</w:t>
            </w:r>
          </w:p>
        </w:tc>
        <w:tc>
          <w:tcPr>
            <w:tcW w:type="dxa" w:w="1234"/>
          </w:tcPr>
          <w:p>
            <w:r>
              <w:rPr>
                <w:rFonts w:ascii="Calibri" w:hAnsi="Calibri"/>
                <w:sz w:val="22"/>
              </w:rPr>
              <w:t>$4.69</w:t>
            </w:r>
          </w:p>
        </w:tc>
        <w:tc>
          <w:tcPr>
            <w:tcW w:type="dxa" w:w="1234"/>
          </w:tcPr>
          <w:p>
            <w:r>
              <w:rPr>
                <w:rFonts w:ascii="Calibri" w:hAnsi="Calibri"/>
                <w:sz w:val="22"/>
              </w:rPr>
              <w:t>$4.72</w:t>
            </w:r>
          </w:p>
        </w:tc>
        <w:tc>
          <w:tcPr>
            <w:tcW w:type="dxa" w:w="1234"/>
          </w:tcPr>
          <w:p>
            <w:r>
              <w:rPr>
                <w:rFonts w:ascii="Calibri" w:hAnsi="Calibri"/>
                <w:sz w:val="22"/>
              </w:rPr>
              <w:t>$4.93</w:t>
            </w:r>
          </w:p>
        </w:tc>
        <w:tc>
          <w:tcPr>
            <w:tcW w:type="dxa" w:w="1234"/>
          </w:tcPr>
          <w:p>
            <w:r>
              <w:rPr>
                <w:rFonts w:ascii="Calibri" w:hAnsi="Calibri"/>
                <w:sz w:val="22"/>
              </w:rPr>
              <w:t>+4.4%</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Gross Margin (%)</w:t>
            </w:r>
          </w:p>
        </w:tc>
        <w:tc>
          <w:tcPr>
            <w:tcW w:type="dxa" w:w="1234"/>
          </w:tcPr>
          <w:p>
            <w:r>
              <w:rPr>
                <w:rFonts w:ascii="Calibri" w:hAnsi="Calibri"/>
                <w:sz w:val="22"/>
              </w:rPr>
              <w:t>54.2%</w:t>
            </w:r>
          </w:p>
        </w:tc>
        <w:tc>
          <w:tcPr>
            <w:tcW w:type="dxa" w:w="1234"/>
          </w:tcPr>
          <w:p>
            <w:r>
              <w:rPr>
                <w:rFonts w:ascii="Calibri" w:hAnsi="Calibri"/>
                <w:sz w:val="22"/>
              </w:rPr>
              <w:t>54.4%</w:t>
            </w:r>
          </w:p>
        </w:tc>
        <w:tc>
          <w:tcPr>
            <w:tcW w:type="dxa" w:w="1234"/>
          </w:tcPr>
          <w:p>
            <w:r>
              <w:rPr>
                <w:rFonts w:ascii="Calibri" w:hAnsi="Calibri"/>
                <w:sz w:val="22"/>
              </w:rPr>
              <w:t>54.6%</w:t>
            </w:r>
          </w:p>
        </w:tc>
        <w:tc>
          <w:tcPr>
            <w:tcW w:type="dxa" w:w="1234"/>
          </w:tcPr>
          <w:p>
            <w:r>
              <w:rPr>
                <w:rFonts w:ascii="Calibri" w:hAnsi="Calibri"/>
                <w:sz w:val="22"/>
              </w:rPr>
              <w:t>+18 bps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Tools Group Revenue ($M)</w:t>
            </w:r>
          </w:p>
        </w:tc>
        <w:tc>
          <w:tcPr>
            <w:tcW w:type="dxa" w:w="1234"/>
          </w:tcPr>
          <w:p>
            <w:r>
              <w:rPr>
                <w:rFonts w:ascii="Calibri" w:hAnsi="Calibri"/>
                <w:sz w:val="22"/>
              </w:rPr>
              <w:t>$486.0M</w:t>
            </w:r>
          </w:p>
        </w:tc>
        <w:tc>
          <w:tcPr>
            <w:tcW w:type="dxa" w:w="1234"/>
          </w:tcPr>
          <w:p>
            <w:r>
              <w:rPr>
                <w:rFonts w:ascii="Calibri" w:hAnsi="Calibri"/>
                <w:sz w:val="22"/>
              </w:rPr>
              <w:t>$491.0M</w:t>
            </w:r>
          </w:p>
        </w:tc>
        <w:tc>
          <w:tcPr>
            <w:tcW w:type="dxa" w:w="1234"/>
          </w:tcPr>
          <w:p>
            <w:r>
              <w:rPr>
                <w:rFonts w:ascii="Calibri" w:hAnsi="Calibri"/>
                <w:sz w:val="22"/>
              </w:rPr>
              <w:t>$501.0M</w:t>
            </w:r>
          </w:p>
        </w:tc>
        <w:tc>
          <w:tcPr>
            <w:tcW w:type="dxa" w:w="1234"/>
          </w:tcPr>
          <w:p>
            <w:r>
              <w:rPr>
                <w:rFonts w:ascii="Calibri" w:hAnsi="Calibri"/>
                <w:sz w:val="22"/>
              </w:rPr>
              <w:t>+2.0%</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Tools Group Op. Margin (%)</w:t>
            </w:r>
          </w:p>
        </w:tc>
        <w:tc>
          <w:tcPr>
            <w:tcW w:type="dxa" w:w="1234"/>
          </w:tcPr>
          <w:p>
            <w:r>
              <w:rPr>
                <w:rFonts w:ascii="Calibri" w:hAnsi="Calibri"/>
                <w:sz w:val="22"/>
              </w:rPr>
              <w:t>37.1%</w:t>
            </w:r>
          </w:p>
        </w:tc>
        <w:tc>
          <w:tcPr>
            <w:tcW w:type="dxa" w:w="1234"/>
          </w:tcPr>
          <w:p>
            <w:r>
              <w:rPr>
                <w:rFonts w:ascii="Calibri" w:hAnsi="Calibri"/>
                <w:sz w:val="22"/>
              </w:rPr>
              <w:t>38.3%</w:t>
            </w:r>
          </w:p>
        </w:tc>
        <w:tc>
          <w:tcPr>
            <w:tcW w:type="dxa" w:w="1234"/>
          </w:tcPr>
          <w:p>
            <w:r>
              <w:rPr>
                <w:rFonts w:ascii="Calibri" w:hAnsi="Calibri"/>
                <w:sz w:val="22"/>
              </w:rPr>
              <w:t>37.9%</w:t>
            </w:r>
          </w:p>
        </w:tc>
        <w:tc>
          <w:tcPr>
            <w:tcW w:type="dxa" w:w="1234"/>
          </w:tcPr>
          <w:p>
            <w:r>
              <w:rPr>
                <w:rFonts w:ascii="Calibri" w:hAnsi="Calibri"/>
                <w:sz w:val="22"/>
              </w:rPr>
              <w:t>-40 bps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RS&amp;I Revenue ($M)</w:t>
            </w:r>
          </w:p>
        </w:tc>
        <w:tc>
          <w:tcPr>
            <w:tcW w:type="dxa" w:w="1234"/>
          </w:tcPr>
          <w:p>
            <w:r>
              <w:rPr>
                <w:rFonts w:ascii="Calibri" w:hAnsi="Calibri"/>
                <w:sz w:val="22"/>
              </w:rPr>
              <w:t>$485.3M</w:t>
            </w:r>
          </w:p>
        </w:tc>
        <w:tc>
          <w:tcPr>
            <w:tcW w:type="dxa" w:w="1234"/>
          </w:tcPr>
          <w:p>
            <w:r>
              <w:rPr>
                <w:rFonts w:ascii="Calibri" w:hAnsi="Calibri"/>
                <w:sz w:val="22"/>
              </w:rPr>
              <w:t>$468.6M</w:t>
            </w:r>
          </w:p>
        </w:tc>
        <w:tc>
          <w:tcPr>
            <w:tcW w:type="dxa" w:w="1234"/>
          </w:tcPr>
          <w:p>
            <w:r>
              <w:rPr>
                <w:rFonts w:ascii="Calibri" w:hAnsi="Calibri"/>
                <w:sz w:val="22"/>
              </w:rPr>
              <w:t>$484.0M</w:t>
            </w:r>
          </w:p>
        </w:tc>
        <w:tc>
          <w:tcPr>
            <w:tcW w:type="dxa" w:w="1234"/>
          </w:tcPr>
          <w:p>
            <w:r>
              <w:rPr>
                <w:rFonts w:ascii="Calibri" w:hAnsi="Calibri"/>
                <w:sz w:val="22"/>
              </w:rPr>
              <w:t>+3.3%</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RS&amp;I Op. Margin (%)</w:t>
            </w:r>
          </w:p>
        </w:tc>
        <w:tc>
          <w:tcPr>
            <w:tcW w:type="dxa" w:w="1234"/>
          </w:tcPr>
          <w:p>
            <w:r>
              <w:rPr>
                <w:rFonts w:ascii="Calibri" w:hAnsi="Calibri"/>
                <w:sz w:val="22"/>
              </w:rPr>
              <w:t>37.1%</w:t>
            </w:r>
          </w:p>
        </w:tc>
        <w:tc>
          <w:tcPr>
            <w:tcW w:type="dxa" w:w="1234"/>
          </w:tcPr>
          <w:p>
            <w:r>
              <w:rPr>
                <w:rFonts w:ascii="Calibri" w:hAnsi="Calibri"/>
                <w:sz w:val="22"/>
              </w:rPr>
              <w:t>36.6%</w:t>
            </w:r>
          </w:p>
        </w:tc>
        <w:tc>
          <w:tcPr>
            <w:tcW w:type="dxa" w:w="1234"/>
          </w:tcPr>
          <w:p>
            <w:r>
              <w:rPr>
                <w:rFonts w:ascii="Calibri" w:hAnsi="Calibri"/>
                <w:sz w:val="22"/>
              </w:rPr>
              <w:t>36.6%</w:t>
            </w:r>
          </w:p>
        </w:tc>
        <w:tc>
          <w:tcPr>
            <w:tcW w:type="dxa" w:w="1234"/>
          </w:tcPr>
          <w:p>
            <w:r>
              <w:rPr>
                <w:rFonts w:ascii="Calibri" w:hAnsi="Calibri"/>
                <w:sz w:val="22"/>
              </w:rPr>
              <w:t>+0 bps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C&amp;I Revenue ($M)</w:t>
            </w:r>
          </w:p>
        </w:tc>
        <w:tc>
          <w:tcPr>
            <w:tcW w:type="dxa" w:w="1234"/>
          </w:tcPr>
          <w:p>
            <w:r>
              <w:rPr>
                <w:rFonts w:ascii="Calibri" w:hAnsi="Calibri"/>
                <w:sz w:val="22"/>
              </w:rPr>
              <w:t>$381.0M</w:t>
            </w:r>
          </w:p>
        </w:tc>
        <w:tc>
          <w:tcPr>
            <w:tcW w:type="dxa" w:w="1234"/>
          </w:tcPr>
          <w:p>
            <w:r>
              <w:rPr>
                <w:rFonts w:ascii="Calibri" w:hAnsi="Calibri"/>
                <w:sz w:val="22"/>
              </w:rPr>
              <w:t>$347.8M</w:t>
            </w:r>
          </w:p>
        </w:tc>
        <w:tc>
          <w:tcPr>
            <w:tcW w:type="dxa" w:w="1234"/>
          </w:tcPr>
          <w:p>
            <w:r>
              <w:rPr>
                <w:rFonts w:ascii="Calibri" w:hAnsi="Calibri"/>
                <w:sz w:val="22"/>
              </w:rPr>
              <w:t>$370.3M</w:t>
            </w:r>
          </w:p>
        </w:tc>
        <w:tc>
          <w:tcPr>
            <w:tcW w:type="dxa" w:w="1234"/>
          </w:tcPr>
          <w:p>
            <w:r>
              <w:rPr>
                <w:rFonts w:ascii="Calibri" w:hAnsi="Calibri"/>
                <w:sz w:val="22"/>
              </w:rPr>
              <w:t>+6.5%</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C&amp;I Op. Margin (%)</w:t>
            </w:r>
          </w:p>
        </w:tc>
        <w:tc>
          <w:tcPr>
            <w:tcW w:type="dxa" w:w="1234"/>
          </w:tcPr>
          <w:p>
            <w:r>
              <w:rPr>
                <w:rFonts w:ascii="Calibri" w:hAnsi="Calibri"/>
                <w:sz w:val="22"/>
              </w:rPr>
              <w:t>29.1%</w:t>
            </w:r>
          </w:p>
        </w:tc>
        <w:tc>
          <w:tcPr>
            <w:tcW w:type="dxa" w:w="1234"/>
          </w:tcPr>
          <w:p>
            <w:r>
              <w:rPr>
                <w:rFonts w:ascii="Calibri" w:hAnsi="Calibri"/>
                <w:sz w:val="22"/>
              </w:rPr>
              <w:t>27.1%</w:t>
            </w:r>
          </w:p>
        </w:tc>
        <w:tc>
          <w:tcPr>
            <w:tcW w:type="dxa" w:w="1234"/>
          </w:tcPr>
          <w:p>
            <w:r>
              <w:rPr>
                <w:rFonts w:ascii="Calibri" w:hAnsi="Calibri"/>
                <w:sz w:val="22"/>
              </w:rPr>
              <w:t>28.0%</w:t>
            </w:r>
          </w:p>
        </w:tc>
        <w:tc>
          <w:tcPr>
            <w:tcW w:type="dxa" w:w="1234"/>
          </w:tcPr>
          <w:p>
            <w:r>
              <w:rPr>
                <w:rFonts w:ascii="Calibri" w:hAnsi="Calibri"/>
                <w:sz w:val="22"/>
              </w:rPr>
              <w:t>+90 bps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Organic Revenue Growth (%)</w:t>
            </w:r>
          </w:p>
        </w:tc>
        <w:tc>
          <w:tcPr>
            <w:tcW w:type="dxa" w:w="1234"/>
          </w:tcPr>
          <w:p>
            <w:r>
              <w:rPr>
                <w:rFonts w:ascii="Calibri" w:hAnsi="Calibri"/>
                <w:sz w:val="22"/>
              </w:rPr>
              <w:t>+3.4%</w:t>
            </w:r>
          </w:p>
        </w:tc>
        <w:tc>
          <w:tcPr>
            <w:tcW w:type="dxa" w:w="1234"/>
          </w:tcPr>
          <w:p>
            <w:r>
              <w:rPr>
                <w:rFonts w:ascii="Calibri" w:hAnsi="Calibri"/>
                <w:sz w:val="22"/>
              </w:rPr>
              <w:t>-0.7%</w:t>
            </w:r>
          </w:p>
        </w:tc>
        <w:tc>
          <w:tcPr>
            <w:tcW w:type="dxa" w:w="1234"/>
          </w:tcPr>
          <w:p>
            <w:r>
              <w:rPr>
                <w:rFonts w:ascii="Calibri" w:hAnsi="Calibri"/>
                <w:sz w:val="22"/>
              </w:rPr>
              <w:t>+1.4%</w:t>
            </w:r>
          </w:p>
        </w:tc>
        <w:tc>
          <w:tcPr>
            <w:tcW w:type="dxa" w:w="1234"/>
          </w:tcPr>
          <w:p>
            <w:r>
              <w:rPr>
                <w:rFonts w:ascii="Calibri" w:hAnsi="Calibri"/>
                <w:sz w:val="22"/>
              </w:rPr>
              <w:t>N/A</w:t>
            </w:r>
          </w:p>
        </w:tc>
        <w:tc>
          <w:tcPr>
            <w:tcW w:type="dxa" w:w="1234"/>
          </w:tcPr>
          <w:p>
            <w:r>
              <w:rPr>
                <w:rFonts w:ascii="Calibri" w:hAnsi="Calibri"/>
                <w:sz w:val="22"/>
              </w:rPr>
              <w:t>No formal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Note: SNA does not provide formal quarterly revenue or EPS guidance. All consensus figures are current as of July 22,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$4.69</w:t>
            </w:r>
          </w:p>
        </w:tc>
        <w:tc>
          <w:tcPr>
            <w:tcW w:type="dxa" w:w="1728"/>
          </w:tcPr>
          <w:p>
            <w:r>
              <w:rPr>
                <w:rFonts w:ascii="Calibri" w:hAnsi="Calibri"/>
                <w:sz w:val="22"/>
              </w:rPr>
              <w:t>$4.71</w:t>
            </w:r>
          </w:p>
        </w:tc>
        <w:tc>
          <w:tcPr>
            <w:tcW w:type="dxa" w:w="1728"/>
          </w:tcPr>
          <w:p>
            <w:r>
              <w:rPr>
                <w:rFonts w:ascii="Calibri" w:hAnsi="Calibri"/>
                <w:b/>
                <w:color w:val="E5484D"/>
                <w:sz w:val="22"/>
              </w:rPr>
              <w:t>-0.4%</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$4.94</w:t>
            </w:r>
          </w:p>
        </w:tc>
        <w:tc>
          <w:tcPr>
            <w:tcW w:type="dxa" w:w="1728"/>
          </w:tcPr>
          <w:p>
            <w:r>
              <w:rPr>
                <w:rFonts w:ascii="Calibri" w:hAnsi="Calibri"/>
                <w:sz w:val="22"/>
              </w:rPr>
              <w:t>$4.88</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$5.02</w:t>
            </w:r>
          </w:p>
        </w:tc>
        <w:tc>
          <w:tcPr>
            <w:tcW w:type="dxa" w:w="1728"/>
          </w:tcPr>
          <w:p>
            <w:r>
              <w:rPr>
                <w:rFonts w:ascii="Calibri" w:hAnsi="Calibri"/>
                <w:sz w:val="22"/>
              </w:rPr>
              <w:t>$4.61</w:t>
            </w:r>
          </w:p>
        </w:tc>
        <w:tc>
          <w:tcPr>
            <w:tcW w:type="dxa" w:w="1728"/>
          </w:tcPr>
          <w:p>
            <w:r>
              <w:rPr>
                <w:rFonts w:ascii="Calibri" w:hAnsi="Calibri"/>
                <w:b/>
                <w:color w:val="30A46C"/>
                <w:sz w:val="22"/>
              </w:rPr>
              <w:t>+8.9%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$4.72</w:t>
            </w:r>
          </w:p>
        </w:tc>
        <w:tc>
          <w:tcPr>
            <w:tcW w:type="dxa" w:w="1728"/>
          </w:tcPr>
          <w:p>
            <w:r>
              <w:rPr>
                <w:rFonts w:ascii="Calibri" w:hAnsi="Calibri"/>
                <w:sz w:val="22"/>
              </w:rPr>
              <w:t>$4.65</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$4.51</w:t>
            </w:r>
          </w:p>
        </w:tc>
        <w:tc>
          <w:tcPr>
            <w:tcW w:type="dxa" w:w="1728"/>
          </w:tcPr>
          <w:p>
            <w:r>
              <w:rPr>
                <w:rFonts w:ascii="Calibri" w:hAnsi="Calibri"/>
                <w:sz w:val="22"/>
              </w:rPr>
              <w:t>$4.82</w:t>
            </w:r>
          </w:p>
        </w:tc>
        <w:tc>
          <w:tcPr>
            <w:tcW w:type="dxa" w:w="1728"/>
          </w:tcPr>
          <w:p>
            <w:r>
              <w:rPr>
                <w:rFonts w:ascii="Calibri" w:hAnsi="Calibri"/>
                <w:b/>
                <w:color w:val="E5484D"/>
                <w:sz w:val="22"/>
              </w:rPr>
              <w:t>-6.4%</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$4.82</w:t>
            </w:r>
          </w:p>
        </w:tc>
        <w:tc>
          <w:tcPr>
            <w:tcW w:type="dxa" w:w="1728"/>
          </w:tcPr>
          <w:p>
            <w:r>
              <w:rPr>
                <w:rFonts w:ascii="Calibri" w:hAnsi="Calibri"/>
                <w:sz w:val="22"/>
              </w:rPr>
              <w:t>$4.76</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$4.70</w:t>
            </w:r>
          </w:p>
        </w:tc>
        <w:tc>
          <w:tcPr>
            <w:tcW w:type="dxa" w:w="1728"/>
          </w:tcPr>
          <w:p>
            <w:r>
              <w:rPr>
                <w:rFonts w:ascii="Calibri" w:hAnsi="Calibri"/>
                <w:sz w:val="22"/>
              </w:rPr>
              <w:t>$4.58</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$5.07</w:t>
            </w:r>
          </w:p>
        </w:tc>
        <w:tc>
          <w:tcPr>
            <w:tcW w:type="dxa" w:w="1728"/>
          </w:tcPr>
          <w:p>
            <w:r>
              <w:rPr>
                <w:rFonts w:ascii="Calibri" w:hAnsi="Calibri"/>
                <w:sz w:val="22"/>
              </w:rPr>
              <w:t>$4.96</w:t>
            </w:r>
          </w:p>
        </w:tc>
        <w:tc>
          <w:tcPr>
            <w:tcW w:type="dxa" w:w="1728"/>
          </w:tcPr>
          <w:p>
            <w:r>
              <w:rPr>
                <w:rFonts w:ascii="Calibri" w:hAnsi="Calibri"/>
                <w:b/>
                <w:color w:val="30A46C"/>
                <w:sz w:val="22"/>
              </w:rPr>
              <w:t>+2.2%</w:t>
            </w:r>
          </w:p>
        </w:tc>
        <w:tc>
          <w:tcPr>
            <w:tcW w:type="dxa" w:w="1728"/>
          </w:tcPr>
          <w:p>
            <w:r>
              <w:rPr>
                <w:rFonts w:ascii="Calibri" w:hAnsi="Calibri"/>
                <w:sz w:val="22"/>
              </w:rPr>
              <w:t>BEAT</w:t>
            </w:r>
          </w:p>
        </w:tc>
      </w:tr>
    </w:tbl>
    <w:p>
      <w:r>
        <w:rPr>
          <w:rFonts w:ascii="Calibri" w:hAnsi="Calibri"/>
          <w:b/>
          <w:color w:val="525866"/>
          <w:sz w:val="22"/>
        </w:rPr>
        <w:t>KPI 2: 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$1,207.2M</w:t>
            </w:r>
          </w:p>
        </w:tc>
        <w:tc>
          <w:tcPr>
            <w:tcW w:type="dxa" w:w="1728"/>
          </w:tcPr>
          <w:p>
            <w:r>
              <w:rPr>
                <w:rFonts w:ascii="Calibri" w:hAnsi="Calibri"/>
                <w:sz w:val="22"/>
              </w:rPr>
              <w:t>$1,174.9M</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$1,231.9M</w:t>
            </w:r>
          </w:p>
        </w:tc>
        <w:tc>
          <w:tcPr>
            <w:tcW w:type="dxa" w:w="1728"/>
          </w:tcPr>
          <w:p>
            <w:r>
              <w:rPr>
                <w:rFonts w:ascii="Calibri" w:hAnsi="Calibri"/>
                <w:sz w:val="22"/>
              </w:rPr>
              <w:t>$1,225.0M</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$1,190.8M</w:t>
            </w:r>
          </w:p>
        </w:tc>
        <w:tc>
          <w:tcPr>
            <w:tcW w:type="dxa" w:w="1728"/>
          </w:tcPr>
          <w:p>
            <w:r>
              <w:rPr>
                <w:rFonts w:ascii="Calibri" w:hAnsi="Calibri"/>
                <w:sz w:val="22"/>
              </w:rPr>
              <w:t>$1,156.9M</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$1,179.4M</w:t>
            </w:r>
          </w:p>
        </w:tc>
        <w:tc>
          <w:tcPr>
            <w:tcW w:type="dxa" w:w="1728"/>
          </w:tcPr>
          <w:p>
            <w:r>
              <w:rPr>
                <w:rFonts w:ascii="Calibri" w:hAnsi="Calibri"/>
                <w:sz w:val="22"/>
              </w:rPr>
              <w:t>$1,153.1M</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$1,141.1M</w:t>
            </w:r>
          </w:p>
        </w:tc>
        <w:tc>
          <w:tcPr>
            <w:tcW w:type="dxa" w:w="1728"/>
          </w:tcPr>
          <w:p>
            <w:r>
              <w:rPr>
                <w:rFonts w:ascii="Calibri" w:hAnsi="Calibri"/>
                <w:sz w:val="22"/>
              </w:rPr>
              <w:t>$1,195.3M</w:t>
            </w:r>
          </w:p>
        </w:tc>
        <w:tc>
          <w:tcPr>
            <w:tcW w:type="dxa" w:w="1728"/>
          </w:tcPr>
          <w:p>
            <w:r>
              <w:rPr>
                <w:rFonts w:ascii="Calibri" w:hAnsi="Calibri"/>
                <w:b/>
                <w:color w:val="E5484D"/>
                <w:sz w:val="22"/>
              </w:rPr>
              <w:t>-4.5%</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$1,198.7M</w:t>
            </w:r>
          </w:p>
        </w:tc>
        <w:tc>
          <w:tcPr>
            <w:tcW w:type="dxa" w:w="1728"/>
          </w:tcPr>
          <w:p>
            <w:r>
              <w:rPr>
                <w:rFonts w:ascii="Calibri" w:hAnsi="Calibri"/>
                <w:sz w:val="22"/>
              </w:rPr>
              <w:t>$1,198.6M</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$1,147.0M</w:t>
            </w:r>
          </w:p>
        </w:tc>
        <w:tc>
          <w:tcPr>
            <w:tcW w:type="dxa" w:w="1728"/>
          </w:tcPr>
          <w:p>
            <w:r>
              <w:rPr>
                <w:rFonts w:ascii="Calibri" w:hAnsi="Calibri"/>
                <w:sz w:val="22"/>
              </w:rPr>
              <w:t>$1,157.5M</w:t>
            </w:r>
          </w:p>
        </w:tc>
        <w:tc>
          <w:tcPr>
            <w:tcW w:type="dxa" w:w="1728"/>
          </w:tcPr>
          <w:p>
            <w:r>
              <w:rPr>
                <w:rFonts w:ascii="Calibri" w:hAnsi="Calibri"/>
                <w:b/>
                <w:color w:val="E5484D"/>
                <w:sz w:val="22"/>
              </w:rPr>
              <w:t>-0.9%</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$1,179.4M</w:t>
            </w:r>
          </w:p>
        </w:tc>
        <w:tc>
          <w:tcPr>
            <w:tcW w:type="dxa" w:w="1728"/>
          </w:tcPr>
          <w:p>
            <w:r>
              <w:rPr>
                <w:rFonts w:ascii="Calibri" w:hAnsi="Calibri"/>
                <w:sz w:val="22"/>
              </w:rPr>
              <w:t>$1,199.3M</w:t>
            </w:r>
          </w:p>
        </w:tc>
        <w:tc>
          <w:tcPr>
            <w:tcW w:type="dxa" w:w="1728"/>
          </w:tcPr>
          <w:p>
            <w:r>
              <w:rPr>
                <w:rFonts w:ascii="Calibri" w:hAnsi="Calibri"/>
                <w:b/>
                <w:color w:val="E5484D"/>
                <w:sz w:val="22"/>
              </w:rPr>
              <w:t>-1.7%</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i/>
          <w:color w:val="525866"/>
          <w:sz w:val="22"/>
        </w:rPr>
        <w:t>SNA has beaten revenue consensus in 5 of the last 8 quarters, with the most recent 3 quarters all coming in above expectations — a positive trend heading into Q2 2026. On EPS, the record is more mixed (5 beats, 3 misses over 8 quarters), with Q1 2026 a narrow miss driven by currency and RS&amp;I investment headwinds.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SNA does not provide formal quarterly revenue or EPS guidance, but management's qualitative tone has shifted meaningfully more constructive since Q1 2026 earnings — the Oppenheimer conference (May 6) provided the most substantive post-earnings color, with C&amp;I critical industries at a near-two-year high, franchisee sentiment broadly optimistic, and tariff comparisons easing from Q2 onward. The only quantitative guidance items are corporate costs (~$28M/quarter), full-year CapEx (~$100M), and the effective tax rate (22%–23%).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Sales (Q2 2026)</w:t>
            </w:r>
          </w:p>
        </w:tc>
        <w:tc>
          <w:tcPr>
            <w:tcW w:type="dxa" w:w="1728"/>
          </w:tcPr>
          <w:p>
            <w:r>
              <w:rPr>
                <w:rFonts w:ascii="Calibri" w:hAnsi="Calibri"/>
                <w:sz w:val="22"/>
              </w:rPr>
              <w:t>No formal guidance</w:t>
            </w:r>
          </w:p>
        </w:tc>
        <w:tc>
          <w:tcPr>
            <w:tcW w:type="dxa" w:w="1728"/>
          </w:tcPr>
          <w:p>
            <w:r>
              <w:rPr>
                <w:rFonts w:ascii="Calibri" w:hAnsi="Calibri"/>
                <w:sz w:val="22"/>
              </w:rPr>
              <w:t>—</w:t>
            </w:r>
          </w:p>
        </w:tc>
        <w:tc>
          <w:tcPr>
            <w:tcW w:type="dxa" w:w="1728"/>
          </w:tcPr>
          <w:p>
            <w:r>
              <w:rPr>
                <w:rFonts w:ascii="Calibri" w:hAnsi="Calibri"/>
                <w:sz w:val="22"/>
              </w:rPr>
              <w:t>$1,218.9M</w:t>
            </w:r>
          </w:p>
        </w:tc>
        <w:tc>
          <w:tcPr>
            <w:tcW w:type="dxa" w:w="1728"/>
          </w:tcPr>
          <w:p>
            <w:r>
              <w:rPr>
                <w:rFonts w:ascii="Calibri" w:hAnsi="Calibri"/>
                <w:sz w:val="22"/>
              </w:rPr>
              <w:t>Management expressed confidence in continued momentum; tariff lapping a tailwind from Q2 onward</w:t>
            </w:r>
          </w:p>
        </w:tc>
      </w:tr>
      <w:tr>
        <w:tc>
          <w:tcPr>
            <w:tcW w:type="dxa" w:w="1728"/>
          </w:tcPr>
          <w:p>
            <w:r>
              <w:rPr>
                <w:rFonts w:ascii="Calibri" w:hAnsi="Calibri"/>
                <w:sz w:val="22"/>
              </w:rPr>
              <w:t>Operating EPS (Q2 2026)</w:t>
            </w:r>
          </w:p>
        </w:tc>
        <w:tc>
          <w:tcPr>
            <w:tcW w:type="dxa" w:w="1728"/>
          </w:tcPr>
          <w:p>
            <w:r>
              <w:rPr>
                <w:rFonts w:ascii="Calibri" w:hAnsi="Calibri"/>
                <w:sz w:val="22"/>
              </w:rPr>
              <w:t>No formal guidance</w:t>
            </w:r>
          </w:p>
        </w:tc>
        <w:tc>
          <w:tcPr>
            <w:tcW w:type="dxa" w:w="1728"/>
          </w:tcPr>
          <w:p>
            <w:r>
              <w:rPr>
                <w:rFonts w:ascii="Calibri" w:hAnsi="Calibri"/>
                <w:sz w:val="22"/>
              </w:rPr>
              <w:t>—</w:t>
            </w:r>
          </w:p>
        </w:tc>
        <w:tc>
          <w:tcPr>
            <w:tcW w:type="dxa" w:w="1728"/>
          </w:tcPr>
          <w:p>
            <w:r>
              <w:rPr>
                <w:rFonts w:ascii="Calibri" w:hAnsi="Calibri"/>
                <w:sz w:val="22"/>
              </w:rPr>
              <w:t>$4.93</w:t>
            </w:r>
          </w:p>
        </w:tc>
        <w:tc>
          <w:tcPr>
            <w:tcW w:type="dxa" w:w="1728"/>
          </w:tcPr>
          <w:p>
            <w:r>
              <w:rPr>
                <w:rFonts w:ascii="Calibri" w:hAnsi="Calibri"/>
                <w:sz w:val="22"/>
              </w:rPr>
              <w:t>Q3 2025 included $0.31 non-recurring legal settlement benefit that will not recur</w:t>
            </w:r>
          </w:p>
        </w:tc>
      </w:tr>
      <w:tr>
        <w:tc>
          <w:tcPr>
            <w:tcW w:type="dxa" w:w="1728"/>
          </w:tcPr>
          <w:p>
            <w:r>
              <w:rPr>
                <w:rFonts w:ascii="Calibri" w:hAnsi="Calibri"/>
                <w:sz w:val="22"/>
              </w:rPr>
              <w:t>Corporate Costs (per quarter)</w:t>
            </w:r>
          </w:p>
        </w:tc>
        <w:tc>
          <w:tcPr>
            <w:tcW w:type="dxa" w:w="1728"/>
          </w:tcPr>
          <w:p>
            <w:r>
              <w:rPr>
                <w:rFonts w:ascii="Calibri" w:hAnsi="Calibri"/>
                <w:sz w:val="22"/>
              </w:rPr>
              <w:t>~$28M per quarter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CFO Pagliari confirmed at Q1 earnings call</w:t>
            </w:r>
          </w:p>
        </w:tc>
      </w:tr>
      <w:tr>
        <w:tc>
          <w:tcPr>
            <w:tcW w:type="dxa" w:w="1728"/>
          </w:tcPr>
          <w:p>
            <w:r>
              <w:rPr>
                <w:rFonts w:ascii="Calibri" w:hAnsi="Calibri"/>
                <w:sz w:val="22"/>
              </w:rPr>
              <w:t>Full-Year CapEx (FY2026)</w:t>
            </w:r>
          </w:p>
        </w:tc>
        <w:tc>
          <w:tcPr>
            <w:tcW w:type="dxa" w:w="1728"/>
          </w:tcPr>
          <w:p>
            <w:r>
              <w:rPr>
                <w:rFonts w:ascii="Calibri" w:hAnsi="Calibri"/>
                <w:sz w:val="22"/>
              </w:rPr>
              <w:t>~$100M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confirmed at Q1 earnings call</w:t>
            </w:r>
          </w:p>
        </w:tc>
      </w:tr>
      <w:tr>
        <w:tc>
          <w:tcPr>
            <w:tcW w:type="dxa" w:w="1728"/>
          </w:tcPr>
          <w:p>
            <w:r>
              <w:rPr>
                <w:rFonts w:ascii="Calibri" w:hAnsi="Calibri"/>
                <w:sz w:val="22"/>
              </w:rPr>
              <w:t>Effective Tax Rate (FY2026)</w:t>
            </w:r>
          </w:p>
        </w:tc>
        <w:tc>
          <w:tcPr>
            <w:tcW w:type="dxa" w:w="1728"/>
          </w:tcPr>
          <w:p>
            <w:r>
              <w:rPr>
                <w:rFonts w:ascii="Calibri" w:hAnsi="Calibri"/>
                <w:sz w:val="22"/>
              </w:rPr>
              <w:t>22%–23%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confirmed at Q1 earnings call</w:t>
            </w:r>
          </w:p>
        </w:tc>
      </w:tr>
      <w:tr>
        <w:tc>
          <w:tcPr>
            <w:tcW w:type="dxa" w:w="1728"/>
          </w:tcPr>
          <w:p>
            <w:r>
              <w:rPr>
                <w:rFonts w:ascii="Calibri" w:hAnsi="Calibri"/>
                <w:sz w:val="22"/>
              </w:rPr>
              <w:t>Tools Group Tone</w:t>
            </w:r>
          </w:p>
        </w:tc>
        <w:tc>
          <w:tcPr>
            <w:tcW w:type="dxa" w:w="1728"/>
          </w:tcPr>
          <w:p>
            <w:r>
              <w:rPr>
                <w:rFonts w:ascii="Calibri" w:hAnsi="Calibri"/>
                <w:sz w:val="22"/>
              </w:rPr>
              <w:t>'Early thaw'; tool storage units up YoY for first time in extended period; 'green shoots'</w:t>
            </w:r>
          </w:p>
        </w:tc>
        <w:tc>
          <w:tcPr>
            <w:tcW w:type="dxa" w:w="1728"/>
          </w:tcPr>
          <w:p>
            <w:r>
              <w:rPr>
                <w:rFonts w:ascii="Calibri" w:hAnsi="Calibri"/>
                <w:sz w:val="22"/>
              </w:rPr>
              <w:t>↑ More constructive at Oppenheimer (May 6)</w:t>
            </w:r>
          </w:p>
        </w:tc>
        <w:tc>
          <w:tcPr>
            <w:tcW w:type="dxa" w:w="1728"/>
          </w:tcPr>
          <w:p>
            <w:r>
              <w:rPr>
                <w:rFonts w:ascii="Calibri" w:hAnsi="Calibri"/>
                <w:sz w:val="22"/>
              </w:rPr>
              <w:t>N/A</w:t>
            </w:r>
          </w:p>
        </w:tc>
        <w:tc>
          <w:tcPr>
            <w:tcW w:type="dxa" w:w="1728"/>
          </w:tcPr>
          <w:p>
            <w:r>
              <w:rPr>
                <w:rFonts w:ascii="Calibri" w:hAnsi="Calibri"/>
                <w:sz w:val="22"/>
              </w:rPr>
              <w:t>↑ Franchisee sentiment 'broadly optimistic'; sell-through exceeding sell-in for past couple of quarters; Apollo diagnostic launch (May 1) expected to address tepid diagnostics comps</w:t>
            </w:r>
          </w:p>
        </w:tc>
      </w:tr>
      <w:tr>
        <w:tc>
          <w:tcPr>
            <w:tcW w:type="dxa" w:w="1728"/>
          </w:tcPr>
          <w:p>
            <w:r>
              <w:rPr>
                <w:rFonts w:ascii="Calibri" w:hAnsi="Calibri"/>
                <w:sz w:val="22"/>
              </w:rPr>
              <w:t>C&amp;I Critical Industries Tone</w:t>
            </w:r>
          </w:p>
        </w:tc>
        <w:tc>
          <w:tcPr>
            <w:tcW w:type="dxa" w:w="1728"/>
          </w:tcPr>
          <w:p>
            <w:r>
              <w:rPr>
                <w:rFonts w:ascii="Calibri" w:hAnsi="Calibri"/>
                <w:sz w:val="22"/>
              </w:rPr>
              <w:t>Aviation strong double-digit growth; military flat YoY (improvement from prior declines); data center tooling emerging</w:t>
            </w:r>
          </w:p>
        </w:tc>
        <w:tc>
          <w:tcPr>
            <w:tcW w:type="dxa" w:w="1728"/>
          </w:tcPr>
          <w:p>
            <w:r>
              <w:rPr>
                <w:rFonts w:ascii="Calibri" w:hAnsi="Calibri"/>
                <w:sz w:val="22"/>
              </w:rPr>
              <w:t>↑ Raised at Oppenheimer (May 6)</w:t>
            </w:r>
          </w:p>
        </w:tc>
        <w:tc>
          <w:tcPr>
            <w:tcW w:type="dxa" w:w="1728"/>
          </w:tcPr>
          <w:p>
            <w:r>
              <w:rPr>
                <w:rFonts w:ascii="Calibri" w:hAnsi="Calibri"/>
                <w:sz w:val="22"/>
              </w:rPr>
              <w:t>N/A</w:t>
            </w:r>
          </w:p>
        </w:tc>
        <w:tc>
          <w:tcPr>
            <w:tcW w:type="dxa" w:w="1728"/>
          </w:tcPr>
          <w:p>
            <w:r>
              <w:rPr>
                <w:rFonts w:ascii="Calibri" w:hAnsi="Calibri"/>
                <w:sz w:val="22"/>
              </w:rPr>
              <w:t>↑ Critical industries at 'highest level in almost 2 years'; profitability described as comparable to Tools Group; military expected to improve going forward</w:t>
            </w:r>
          </w:p>
        </w:tc>
      </w:tr>
      <w:tr>
        <w:tc>
          <w:tcPr>
            <w:tcW w:type="dxa" w:w="1728"/>
          </w:tcPr>
          <w:p>
            <w:r>
              <w:rPr>
                <w:rFonts w:ascii="Calibri" w:hAnsi="Calibri"/>
                <w:sz w:val="22"/>
              </w:rPr>
              <w:t>Tariff Posture</w:t>
            </w:r>
          </w:p>
        </w:tc>
        <w:tc>
          <w:tcPr>
            <w:tcW w:type="dxa" w:w="1728"/>
          </w:tcPr>
          <w:p>
            <w:r>
              <w:rPr>
                <w:rFonts w:ascii="Calibri" w:hAnsi="Calibri"/>
                <w:sz w:val="22"/>
              </w:rPr>
              <w:t>'Not as significant as many others'; gross margins held flat despite turbulence; not depending on tariff refunds</w:t>
            </w:r>
          </w:p>
        </w:tc>
        <w:tc>
          <w:tcPr>
            <w:tcW w:type="dxa" w:w="1728"/>
          </w:tcPr>
          <w:p>
            <w:r>
              <w:rPr>
                <w:rFonts w:ascii="Calibri" w:hAnsi="Calibri"/>
                <w:sz w:val="22"/>
              </w:rPr>
              <w:t>↑ More positive at Oppenheimer (May 6)</w:t>
            </w:r>
          </w:p>
        </w:tc>
        <w:tc>
          <w:tcPr>
            <w:tcW w:type="dxa" w:w="1728"/>
          </w:tcPr>
          <w:p>
            <w:r>
              <w:rPr>
                <w:rFonts w:ascii="Calibri" w:hAnsi="Calibri"/>
                <w:sz w:val="22"/>
              </w:rPr>
              <w:t>N/A</w:t>
            </w:r>
          </w:p>
        </w:tc>
        <w:tc>
          <w:tcPr>
            <w:tcW w:type="dxa" w:w="1728"/>
          </w:tcPr>
          <w:p>
            <w:r>
              <w:rPr>
                <w:rFonts w:ascii="Calibri" w:hAnsi="Calibri"/>
                <w:sz w:val="22"/>
              </w:rPr>
              <w:t>↑ Q2, Q3, Q4 2026 lapping prior-year tariff headwinds; year-over-year comparisons become progressively easier</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operating EPS and revenue have been essentially flat since the Q1 2026 print, suggesting the Street has not yet fully incorporated the more constructive tone from the Oppenheimer conference — this stability represents a potential cushion rather than a risk. Full-year FY2026 estimates are similarly stable, with consensus EPS of ~$19.65 implying modest growth.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$4.93</w:t>
            </w:r>
          </w:p>
        </w:tc>
        <w:tc>
          <w:tcPr>
            <w:tcW w:type="dxa" w:w="1080"/>
          </w:tcPr>
          <w:p>
            <w:r>
              <w:rPr>
                <w:rFonts w:ascii="Calibri" w:hAnsi="Calibri"/>
                <w:sz w:val="22"/>
              </w:rPr>
              <w:t>$4.93</w:t>
            </w:r>
          </w:p>
        </w:tc>
        <w:tc>
          <w:tcPr>
            <w:tcW w:type="dxa" w:w="1080"/>
          </w:tcPr>
          <w:p>
            <w:r>
              <w:rPr>
                <w:rFonts w:ascii="Calibri" w:hAnsi="Calibri"/>
                <w:sz w:val="22"/>
              </w:rPr>
              <w:t>0.0%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Q2 2026</w:t>
            </w:r>
          </w:p>
        </w:tc>
        <w:tc>
          <w:tcPr>
            <w:tcW w:type="dxa" w:w="1080"/>
          </w:tcPr>
          <w:p>
            <w:r>
              <w:rPr>
                <w:rFonts w:ascii="Calibri" w:hAnsi="Calibri"/>
                <w:sz w:val="22"/>
              </w:rPr>
              <w:t>$1,218.9M</w:t>
            </w:r>
          </w:p>
        </w:tc>
        <w:tc>
          <w:tcPr>
            <w:tcW w:type="dxa" w:w="1080"/>
          </w:tcPr>
          <w:p>
            <w:r>
              <w:rPr>
                <w:rFonts w:ascii="Calibri" w:hAnsi="Calibri"/>
                <w:sz w:val="22"/>
              </w:rPr>
              <w:t>$1,218.9M</w:t>
            </w:r>
          </w:p>
        </w:tc>
        <w:tc>
          <w:tcPr>
            <w:tcW w:type="dxa" w:w="1080"/>
          </w:tcPr>
          <w:p>
            <w:r>
              <w:rPr>
                <w:rFonts w:ascii="Calibri" w:hAnsi="Calibri"/>
                <w:sz w:val="22"/>
              </w:rPr>
              <w:t>0.0%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Gross Margin — Q2 2026</w:t>
            </w:r>
          </w:p>
        </w:tc>
        <w:tc>
          <w:tcPr>
            <w:tcW w:type="dxa" w:w="1080"/>
          </w:tcPr>
          <w:p>
            <w:r>
              <w:rPr>
                <w:rFonts w:ascii="Calibri" w:hAnsi="Calibri"/>
                <w:sz w:val="22"/>
              </w:rPr>
              <w:t>54.6%</w:t>
            </w:r>
          </w:p>
        </w:tc>
        <w:tc>
          <w:tcPr>
            <w:tcW w:type="dxa" w:w="1080"/>
          </w:tcPr>
          <w:p>
            <w:r>
              <w:rPr>
                <w:rFonts w:ascii="Calibri" w:hAnsi="Calibri"/>
                <w:sz w:val="22"/>
              </w:rPr>
              <w:t>54.6%</w:t>
            </w:r>
          </w:p>
        </w:tc>
        <w:tc>
          <w:tcPr>
            <w:tcW w:type="dxa" w:w="1080"/>
          </w:tcPr>
          <w:p>
            <w:r>
              <w:rPr>
                <w:rFonts w:ascii="Calibri" w:hAnsi="Calibri"/>
                <w:sz w:val="22"/>
              </w:rPr>
              <w:t>0.0%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$19.65</w:t>
            </w:r>
          </w:p>
        </w:tc>
        <w:tc>
          <w:tcPr>
            <w:tcW w:type="dxa" w:w="1080"/>
          </w:tcPr>
          <w:p>
            <w:r>
              <w:rPr>
                <w:rFonts w:ascii="Calibri" w:hAnsi="Calibri"/>
                <w:sz w:val="22"/>
              </w:rPr>
              <w:t>$19.65</w:t>
            </w:r>
          </w:p>
        </w:tc>
        <w:tc>
          <w:tcPr>
            <w:tcW w:type="dxa" w:w="1080"/>
          </w:tcPr>
          <w:p>
            <w:r>
              <w:rPr>
                <w:rFonts w:ascii="Calibri" w:hAnsi="Calibri"/>
                <w:sz w:val="22"/>
              </w:rPr>
              <w:t>0.0%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$4,912.9M</w:t>
            </w:r>
          </w:p>
        </w:tc>
        <w:tc>
          <w:tcPr>
            <w:tcW w:type="dxa" w:w="1080"/>
          </w:tcPr>
          <w:p>
            <w:r>
              <w:rPr>
                <w:rFonts w:ascii="Calibri" w:hAnsi="Calibri"/>
                <w:sz w:val="22"/>
              </w:rPr>
              <w:t>$4,912.9M</w:t>
            </w:r>
          </w:p>
        </w:tc>
        <w:tc>
          <w:tcPr>
            <w:tcW w:type="dxa" w:w="1080"/>
          </w:tcPr>
          <w:p>
            <w:r>
              <w:rPr>
                <w:rFonts w:ascii="Calibri" w:hAnsi="Calibri"/>
                <w:sz w:val="22"/>
              </w:rPr>
              <w:t>0.0%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The flat estimate trajectory since the Q1 2026 print is notable: despite management's increasingly constructive tone at the Oppenheimer conference (May 6) — including C&amp;I critical industries at a near-two-year high and franchisee sentiment broadly optimistic — the Street has not revised estimates upward. This creates an asymmetric setup where a continuation of Q1's positive trends could drive upside surprise.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SNA has outperformed the XLI Industrials ETF since Q1 2026 earnings (+3.9% vs. +2.7%), driven primarily by the constructive Q1 print (revenue beat, Tools Group margin expansion) and the more optimistic tone at the Oppenheimer conference — the outperformance reflects sentiment improvement rather than estimate revision, as consensus has been flat since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SNA vs. XLI (Industrials ETF) — Indexed to 100 at Q1 2026 Earnings Date (Apr 23, 2026). Source: Stock Price Data.</w:t>
      </w:r>
    </w:p>
    <w:p>
      <w:r>
        <w:rPr>
          <w:rFonts w:ascii="Calibri" w:hAnsi="Calibri"/>
          <w:b/>
          <w:color w:val="525866"/>
          <w:sz w:val="22"/>
        </w:rPr>
        <w:t xml:space="preserve">Sector ETF used: </w:t>
      </w:r>
      <w:r>
        <w:rPr>
          <w:rFonts w:ascii="Calibri" w:hAnsi="Calibri"/>
          <w:color w:val="525866"/>
          <w:sz w:val="22"/>
        </w:rPr>
        <w:t>XLI (iShares U.S. Industrials ETF) — appropriate for SNA's industrial tools and equipment sub-sector. SNA closed at $406.17 on July 22, 2026 vs. $390.75 at the Q1 2026 earnings close, a gain of +$15.42 / +3.9%. Key events marked: Q1 2026 Earnings (Apr 23) and Oppenheimer Industrial Growth Conference (May 6). The stock pulled back modestly from a mid-July high of ~$415 but remains above the post-earnings base, consistent with a market that is cautiously constructive but not yet pricing in a full recovery.</w:t>
      </w:r>
    </w:p>
    <w:p>
      <w:pPr>
        <w:pStyle w:val="Heading2"/>
      </w:pPr>
      <w:r>
        <w:rPr>
          <w:rFonts w:ascii="Calibri" w:hAnsi="Calibri"/>
          <w:b/>
          <w:color w:val="3B4259"/>
          <w:sz w:val="28"/>
        </w:rPr>
        <w:t>6. Peer Commentaries — Q2 2026 Read-Throughs (Last 60 Days)</w:t>
      </w:r>
    </w:p>
    <w:p>
      <w:r>
        <w:rPr>
          <w:rFonts w:ascii="Calibri" w:hAnsi="Calibri"/>
          <w:b/>
          <w:color w:val="525866"/>
          <w:sz w:val="22"/>
        </w:rPr>
        <w:t xml:space="preserve">Key Takeaway: </w:t>
      </w:r>
      <w:r>
        <w:rPr>
          <w:rFonts w:ascii="Calibri" w:hAnsi="Calibri"/>
          <w:color w:val="525866"/>
          <w:sz w:val="22"/>
        </w:rPr>
        <w:t>Peer commentary since SNA's Q1 2026 earnings (Apr 23) is broadly constructive for the professional tools and industrial end markets relevant to Snap-on: professional end-user demand is holding up better than feared (SWK), industrial order books are building (TKR), and specialty/professional equipment demand is robust (TTC). The macro backdrop remains uncertain but not deteriorating, and tariff headwinds are being managed across the peer group. Only commentary about Q2 2026 or forward-looking statements made after Q1 2026 earnings is included below.</w:t>
      </w:r>
    </w:p>
    <w:p>
      <w:pPr>
        <w:pStyle w:val="Heading3"/>
      </w:pPr>
      <w:r>
        <w:rPr>
          <w:rFonts w:ascii="Calibri" w:hAnsi="Calibri"/>
          <w:b/>
          <w:color w:val="3B4259"/>
          <w:sz w:val="24"/>
        </w:rPr>
        <w:t>Stanley Black &amp; Decker (SWK) — Q1 2026 Earnings Call (Apr 29, 2026) &amp; Wells Fargo Conference (Jun 9, 2026)</w:t>
      </w:r>
    </w:p>
    <w:p>
      <w:r>
        <w:rPr>
          <w:rFonts w:ascii="Calibri" w:hAnsi="Calibri"/>
          <w:b/>
          <w:color w:val="525866"/>
          <w:sz w:val="22"/>
        </w:rPr>
        <w:t xml:space="preserve">Relevance to SNA: </w:t>
      </w:r>
      <w:r>
        <w:rPr>
          <w:rFonts w:ascii="Calibri" w:hAnsi="Calibri"/>
          <w:color w:val="525866"/>
          <w:sz w:val="22"/>
        </w:rPr>
        <w:t>SWK is the closest direct peer in professional hand tools and power tools. Its commentary on professional end-user demand, pricing dynamics, and tariff management is a direct read-through to SNA's Tools Group.</w:t>
      </w:r>
    </w:p>
    <w:p>
      <w:pPr>
        <w:pStyle w:val="ListBullet"/>
        <w:ind w:left="360" w:hanging="360"/>
      </w:pPr>
      <w:r>
        <w:rPr>
          <w:rFonts w:ascii="Calibri" w:hAnsi="Calibri"/>
          <w:b/>
          <w:color w:val="525866"/>
          <w:sz w:val="22"/>
        </w:rPr>
        <w:t xml:space="preserve">Professional demand holding up: </w:t>
      </w:r>
      <w:r>
        <w:rPr>
          <w:rFonts w:ascii="Calibri" w:hAnsi="Calibri"/>
          <w:color w:val="525866"/>
          <w:sz w:val="22"/>
        </w:rPr>
        <w:t>SWK's U.S. commercial and industrial channel delivered high single-digit organic growth in Q1 2026, with management noting professional end users are 'hanging in better than one might expect' despite a challenging macro backdrop. This is a positive read-through for SNA's Tools Group, where technician demand has been the key debate.</w:t>
      </w:r>
    </w:p>
    <w:p>
      <w:pPr>
        <w:pStyle w:val="ListBullet"/>
        <w:ind w:left="360" w:hanging="360"/>
      </w:pPr>
      <w:r>
        <w:rPr>
          <w:rFonts w:ascii="Calibri" w:hAnsi="Calibri"/>
          <w:b/>
          <w:color w:val="525866"/>
          <w:sz w:val="22"/>
        </w:rPr>
        <w:t xml:space="preserve">Q2 2026 guidance constructive: </w:t>
      </w:r>
      <w:r>
        <w:rPr>
          <w:rFonts w:ascii="Calibri" w:hAnsi="Calibri"/>
          <w:color w:val="525866"/>
          <w:sz w:val="22"/>
        </w:rPr>
        <w:t>SWK guided Q2 2026 net sales of ~$3.9B (up low single-digit organically) and adjusted EPS of $1.15–1.25, with Tools &amp; Outdoor organic revenue expected up low single digits. The company noted it is 'lapping the promotional disruption that started in Q2 last year' — a similar dynamic to SNA lapping tariff headwinds.</w:t>
      </w:r>
    </w:p>
    <w:p>
      <w:pPr>
        <w:pStyle w:val="ListBullet"/>
        <w:ind w:left="360" w:hanging="360"/>
      </w:pPr>
      <w:r>
        <w:rPr>
          <w:rFonts w:ascii="Calibri" w:hAnsi="Calibri"/>
          <w:b/>
          <w:color w:val="525866"/>
          <w:sz w:val="22"/>
        </w:rPr>
        <w:t xml:space="preserve">Tariff environment stabilizing: </w:t>
      </w:r>
      <w:r>
        <w:rPr>
          <w:rFonts w:ascii="Calibri" w:hAnsi="Calibri"/>
          <w:color w:val="525866"/>
          <w:sz w:val="22"/>
        </w:rPr>
        <w:t>At the Wells Fargo conference (Jun 9), SWK CEO Nelson stated the industry has reached 'equilibrium' on pricing after aggressive early tariff-driven price increases, with competitors now at similar levels. SWK expects to be at or below 5% of products produced in China for U.S. consumption by year-end — a contrast to SNA's domestic manufacturing advantage, which should continue to differentiate SNA's margin resilience.</w:t>
      </w:r>
    </w:p>
    <w:p>
      <w:pPr>
        <w:pStyle w:val="ListBullet"/>
        <w:ind w:left="360" w:hanging="360"/>
      </w:pPr>
      <w:r>
        <w:rPr>
          <w:rFonts w:ascii="Calibri" w:hAnsi="Calibri"/>
          <w:b/>
          <w:color w:val="525866"/>
          <w:sz w:val="22"/>
        </w:rPr>
        <w:t xml:space="preserve">DIY vs. professional divergence: </w:t>
      </w:r>
      <w:r>
        <w:rPr>
          <w:rFonts w:ascii="Calibri" w:hAnsi="Calibri"/>
          <w:color w:val="525866"/>
          <w:sz w:val="22"/>
        </w:rPr>
        <w:t>SWK noted 'more of an overall effect of the depressed consumer' in DIY, while professional markets are 'certainly performing better than the DIY markets.' This divergence is a positive read-through for SNA, which is exclusively focused on professional users.</w:t>
      </w:r>
    </w:p>
    <w:p>
      <w:pPr>
        <w:pStyle w:val="ListBullet"/>
        <w:ind w:left="360" w:hanging="360"/>
      </w:pPr>
      <w:r>
        <w:rPr>
          <w:rFonts w:ascii="Calibri" w:hAnsi="Calibri"/>
          <w:b/>
          <w:color w:val="525866"/>
          <w:sz w:val="22"/>
        </w:rPr>
        <w:t xml:space="preserve">Data center demand emerging: </w:t>
      </w:r>
      <w:r>
        <w:rPr>
          <w:rFonts w:ascii="Calibri" w:hAnsi="Calibri"/>
          <w:color w:val="525866"/>
          <w:sz w:val="22"/>
        </w:rPr>
        <w:t>SWK cited 'great demand on battery platforms to support data center growth' — consistent with SNA management's commentary at Oppenheimer about 'increased demand from the data center market for specific toolkits.' Both companies are seeing this as an emerging C&amp;I opportunity.</w:t>
      </w:r>
    </w:p>
    <w:p>
      <w:pPr>
        <w:pStyle w:val="Heading3"/>
      </w:pPr>
      <w:r>
        <w:rPr>
          <w:rFonts w:ascii="Calibri" w:hAnsi="Calibri"/>
          <w:b/>
          <w:color w:val="3B4259"/>
          <w:sz w:val="24"/>
        </w:rPr>
        <w:t>Timken Company (TKR) — Q1 2026 Earnings Call (May 6, 2026) &amp; Investor Day (May 20, 2026)</w:t>
      </w:r>
    </w:p>
    <w:p>
      <w:r>
        <w:rPr>
          <w:rFonts w:ascii="Calibri" w:hAnsi="Calibri"/>
          <w:b/>
          <w:color w:val="525866"/>
          <w:sz w:val="22"/>
        </w:rPr>
        <w:t xml:space="preserve">Relevance to SNA: </w:t>
      </w:r>
      <w:r>
        <w:rPr>
          <w:rFonts w:ascii="Calibri" w:hAnsi="Calibri"/>
          <w:color w:val="525866"/>
          <w:sz w:val="22"/>
        </w:rPr>
        <w:t>TKR serves overlapping industrial end markets (aerospace, defense, heavy industries, off-highway) that are key to SNA's C&amp;I critical industries segment. TKR's order book and demand commentary is a useful leading indicator for SNA's C&amp;I trajectory.</w:t>
      </w:r>
    </w:p>
    <w:p>
      <w:pPr>
        <w:pStyle w:val="ListBullet"/>
        <w:ind w:left="360" w:hanging="360"/>
      </w:pPr>
      <w:r>
        <w:rPr>
          <w:rFonts w:ascii="Calibri" w:hAnsi="Calibri"/>
          <w:b/>
          <w:color w:val="525866"/>
          <w:sz w:val="22"/>
        </w:rPr>
        <w:t xml:space="preserve">Industrial order books building: </w:t>
      </w:r>
      <w:r>
        <w:rPr>
          <w:rFonts w:ascii="Calibri" w:hAnsi="Calibri"/>
          <w:color w:val="525866"/>
          <w:sz w:val="22"/>
        </w:rPr>
        <w:t>TKR reported its backlog at end of Q1 2026 was up both sequentially and year-on-year, with aerospace, off-highway, rail, and wind as the leading contributors. This is a positive read-through for SNA's C&amp;I critical industries segment, where aviation and heavy-duty have been the key growth drivers.</w:t>
      </w:r>
    </w:p>
    <w:p>
      <w:pPr>
        <w:pStyle w:val="ListBullet"/>
        <w:ind w:left="360" w:hanging="360"/>
      </w:pPr>
      <w:r>
        <w:rPr>
          <w:rFonts w:ascii="Calibri" w:hAnsi="Calibri"/>
          <w:b/>
          <w:color w:val="525866"/>
          <w:sz w:val="22"/>
        </w:rPr>
        <w:t xml:space="preserve">Q2 2026 guidance: organic revenue, margins, and EPS all higher YoY: </w:t>
      </w:r>
      <w:r>
        <w:rPr>
          <w:rFonts w:ascii="Calibri" w:hAnsi="Calibri"/>
          <w:color w:val="525866"/>
          <w:sz w:val="22"/>
        </w:rPr>
        <w:t>TKR guided Q2 2026 organic revenue, adjusted EBITDA margins, and adjusted EPS all higher than prior year, though modestly lower sequentially due to ~1% pull-forward from Q2 into Q1 from Middle East uncertainty. The underlying demand environment is described as robust.</w:t>
      </w:r>
    </w:p>
    <w:p>
      <w:pPr>
        <w:pStyle w:val="ListBullet"/>
        <w:ind w:left="360" w:hanging="360"/>
      </w:pPr>
      <w:r>
        <w:rPr>
          <w:rFonts w:ascii="Calibri" w:hAnsi="Calibri"/>
          <w:b/>
          <w:color w:val="525866"/>
          <w:sz w:val="22"/>
        </w:rPr>
        <w:t xml:space="preserve">Aerospace and defense strength: </w:t>
      </w:r>
      <w:r>
        <w:rPr>
          <w:rFonts w:ascii="Calibri" w:hAnsi="Calibri"/>
          <w:color w:val="525866"/>
          <w:sz w:val="22"/>
        </w:rPr>
        <w:t>TKR noted aerospace and defense achieved the strongest gains in Q1, with share gains and deeper penetration with tier suppliers. OEM build rates are still ~20% below pre-COVID levels, suggesting additional runway — a positive read-through for SNA's aviation tooling demand.</w:t>
      </w:r>
    </w:p>
    <w:p>
      <w:pPr>
        <w:pStyle w:val="ListBullet"/>
        <w:ind w:left="360" w:hanging="360"/>
      </w:pPr>
      <w:r>
        <w:rPr>
          <w:rFonts w:ascii="Calibri" w:hAnsi="Calibri"/>
          <w:b/>
          <w:color w:val="525866"/>
          <w:sz w:val="22"/>
        </w:rPr>
        <w:t xml:space="preserve">Agriculture 'green shoots': </w:t>
      </w:r>
      <w:r>
        <w:rPr>
          <w:rFonts w:ascii="Calibri" w:hAnsi="Calibri"/>
          <w:color w:val="525866"/>
          <w:sz w:val="22"/>
        </w:rPr>
        <w:t>TKR described 'green shoots' in the ag business after a long down cycle, with increasing order books. While not a direct SNA end market, this signals a broader industrial recovery that could support technician confidence.</w:t>
      </w:r>
    </w:p>
    <w:p>
      <w:pPr>
        <w:pStyle w:val="ListBullet"/>
        <w:ind w:left="360" w:hanging="360"/>
      </w:pPr>
      <w:r>
        <w:rPr>
          <w:rFonts w:ascii="Calibri" w:hAnsi="Calibri"/>
          <w:b/>
          <w:color w:val="525866"/>
          <w:sz w:val="22"/>
        </w:rPr>
        <w:t xml:space="preserve">Middle East uncertainty a modest headwind: </w:t>
      </w:r>
      <w:r>
        <w:rPr>
          <w:rFonts w:ascii="Calibri" w:hAnsi="Calibri"/>
          <w:color w:val="525866"/>
          <w:sz w:val="22"/>
        </w:rPr>
        <w:t>TKR noted the Iran conflict creates 'further uncertainty' but has not yet caused demand destruction — pipeline and order book remain robust. This is consistent with SNA management's commentary that geopolitical noise 'weighs on the psyche of customers' but has not derailed the recovery.</w:t>
      </w:r>
    </w:p>
    <w:p>
      <w:pPr>
        <w:pStyle w:val="Heading3"/>
      </w:pPr>
      <w:r>
        <w:rPr>
          <w:rFonts w:ascii="Calibri" w:hAnsi="Calibri"/>
          <w:b/>
          <w:color w:val="3B4259"/>
          <w:sz w:val="24"/>
        </w:rPr>
        <w:t>Toro Company (TTC) — Q2 2026 Earnings Call (Jun 4, 2026)</w:t>
      </w:r>
    </w:p>
    <w:p>
      <w:r>
        <w:rPr>
          <w:rFonts w:ascii="Calibri" w:hAnsi="Calibri"/>
          <w:b/>
          <w:color w:val="525866"/>
          <w:sz w:val="22"/>
        </w:rPr>
        <w:t xml:space="preserve">Relevance to SNA: </w:t>
      </w:r>
      <w:r>
        <w:rPr>
          <w:rFonts w:ascii="Calibri" w:hAnsi="Calibri"/>
          <w:color w:val="525866"/>
          <w:sz w:val="22"/>
        </w:rPr>
        <w:t>TTC serves professional landscaping, golf, and underground construction markets. Its commentary on professional end-user demand, field inventory health, and pricing is a read-through for the broader professional tools environment.</w:t>
      </w:r>
    </w:p>
    <w:p>
      <w:pPr>
        <w:pStyle w:val="ListBullet"/>
        <w:ind w:left="360" w:hanging="360"/>
      </w:pPr>
      <w:r>
        <w:rPr>
          <w:rFonts w:ascii="Calibri" w:hAnsi="Calibri"/>
          <w:b/>
          <w:color w:val="525866"/>
          <w:sz w:val="22"/>
        </w:rPr>
        <w:t xml:space="preserve">Professional demand robust: </w:t>
      </w:r>
      <w:r>
        <w:rPr>
          <w:rFonts w:ascii="Calibri" w:hAnsi="Calibri"/>
          <w:color w:val="525866"/>
          <w:sz w:val="22"/>
        </w:rPr>
        <w:t>TTC reported Professional net sales grew 9% in Q2 2026, with underground and specialty construction up low double digits organically. Management raised full-year Professional segment guidance to 5%–7% growth. This broad-based professional demand strength is a positive read-through for SNA's Tools Group recovery thesis.</w:t>
      </w:r>
    </w:p>
    <w:p>
      <w:pPr>
        <w:pStyle w:val="ListBullet"/>
        <w:ind w:left="360" w:hanging="360"/>
      </w:pPr>
      <w:r>
        <w:rPr>
          <w:rFonts w:ascii="Calibri" w:hAnsi="Calibri"/>
          <w:b/>
          <w:color w:val="525866"/>
          <w:sz w:val="22"/>
        </w:rPr>
        <w:t xml:space="preserve">Field inventory healthy: </w:t>
      </w:r>
      <w:r>
        <w:rPr>
          <w:rFonts w:ascii="Calibri" w:hAnsi="Calibri"/>
          <w:color w:val="525866"/>
          <w:sz w:val="22"/>
        </w:rPr>
        <w:t>TTC noted field inventory for the Professional segment is 'in great shape,' with sell-through very strong. This mirrors SNA's commentary that franchisee sell-through has exceeded sell-in for the past couple of quarters, leaving the van network in a healthier inventory position.</w:t>
      </w:r>
    </w:p>
    <w:p>
      <w:pPr>
        <w:pStyle w:val="ListBullet"/>
        <w:ind w:left="360" w:hanging="360"/>
      </w:pPr>
      <w:r>
        <w:rPr>
          <w:rFonts w:ascii="Calibri" w:hAnsi="Calibri"/>
          <w:b/>
          <w:color w:val="525866"/>
          <w:sz w:val="22"/>
        </w:rPr>
        <w:t xml:space="preserve">Tariff impact manageable: </w:t>
      </w:r>
      <w:r>
        <w:rPr>
          <w:rFonts w:ascii="Calibri" w:hAnsi="Calibri"/>
          <w:color w:val="525866"/>
          <w:sz w:val="22"/>
        </w:rPr>
        <w:t>TTC raised its gross tariff estimate to $120M but noted the net impact on full-year guidance is 'negligible' due to a ~$20M refund. The company's AMP productivity program is offsetting tariff and inflation headwinds — consistent with SNA's RCI (Rapid Continuous Improvement) approach to margin defense.</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TTC raised full-year adjusted EPS guidance to $4.50–$4.62 (from $4.40–$4.60) and sales growth to 4%–6.5% (from 3%–6.5%), citing outperformance in H1 and reduced downside risk. A peer raising guidance is a constructive signal for the broader professional tools and equipment sector.</w:t>
      </w:r>
    </w:p>
    <w:p>
      <w:pPr>
        <w:pStyle w:val="Heading3"/>
      </w:pPr>
      <w:r>
        <w:rPr>
          <w:rFonts w:ascii="Calibri" w:hAnsi="Calibri"/>
          <w:b/>
          <w:color w:val="3B4259"/>
          <w:sz w:val="24"/>
        </w:rPr>
        <w:t>Kennametal (KMT) — Q3 FY2026 Earnings Call (May 6, 2026)</w:t>
      </w:r>
    </w:p>
    <w:p>
      <w:r>
        <w:rPr>
          <w:rFonts w:ascii="Calibri" w:hAnsi="Calibri"/>
          <w:b/>
          <w:color w:val="525866"/>
          <w:sz w:val="22"/>
        </w:rPr>
        <w:t xml:space="preserve">Relevance to SNA: </w:t>
      </w:r>
      <w:r>
        <w:rPr>
          <w:rFonts w:ascii="Calibri" w:hAnsi="Calibri"/>
          <w:color w:val="525866"/>
          <w:sz w:val="22"/>
        </w:rPr>
        <w:t>KMT serves industrial cutting tools and infrastructure markets, with significant exposure to aerospace, defense, energy, and general engineering — overlapping with SNA's C&amp;I critical industries. KMT's demand commentary and pricing dynamics are a read-through for SNA's C&amp;I segment.</w:t>
      </w:r>
    </w:p>
    <w:p>
      <w:pPr>
        <w:pStyle w:val="ListBullet"/>
        <w:ind w:left="360" w:hanging="360"/>
      </w:pPr>
      <w:r>
        <w:rPr>
          <w:rFonts w:ascii="Calibri" w:hAnsi="Calibri"/>
          <w:b/>
          <w:color w:val="525866"/>
          <w:sz w:val="22"/>
        </w:rPr>
        <w:t xml:space="preserve">Industrial volumes recovering: </w:t>
      </w:r>
      <w:r>
        <w:rPr>
          <w:rFonts w:ascii="Calibri" w:hAnsi="Calibri"/>
          <w:color w:val="525866"/>
          <w:sz w:val="22"/>
        </w:rPr>
        <w:t>KMT reported the second consecutive quarter of year-over-year trailing 12-month unit volume growth, with global volumes up ~3% from the Q1 FY2026 trough after 36 months of stagnant industrial production. Americas and Asia Pacific strengthening; EMEA lagging. This broad industrial recovery is a positive read-through for SNA's C&amp;I segment.</w:t>
      </w:r>
    </w:p>
    <w:p>
      <w:pPr>
        <w:pStyle w:val="ListBullet"/>
        <w:ind w:left="360" w:hanging="360"/>
      </w:pPr>
      <w:r>
        <w:rPr>
          <w:rFonts w:ascii="Calibri" w:hAnsi="Calibri"/>
          <w:b/>
          <w:color w:val="525866"/>
          <w:sz w:val="22"/>
        </w:rPr>
        <w:t xml:space="preserve">Aerospace and defense a key driver: </w:t>
      </w:r>
      <w:r>
        <w:rPr>
          <w:rFonts w:ascii="Calibri" w:hAnsi="Calibri"/>
          <w:color w:val="525866"/>
          <w:sz w:val="22"/>
        </w:rPr>
        <w:t>KMT's Aerospace and Defense grew 23% (Infrastructure) and 27% (Metal Cutting) year-over-year in Q3 FY2026, driven by share gains and defense orders. This is a strong read-through for SNA's aviation and military tooling demand, which management described as at a near-two-year high.</w:t>
      </w:r>
    </w:p>
    <w:p>
      <w:pPr>
        <w:pStyle w:val="ListBullet"/>
        <w:ind w:left="360" w:hanging="360"/>
      </w:pPr>
      <w:r>
        <w:rPr>
          <w:rFonts w:ascii="Calibri" w:hAnsi="Calibri"/>
          <w:b/>
          <w:color w:val="525866"/>
          <w:sz w:val="22"/>
        </w:rPr>
        <w:t xml:space="preserve">Prioritizing growth over restructuring: </w:t>
      </w:r>
      <w:r>
        <w:rPr>
          <w:rFonts w:ascii="Calibri" w:hAnsi="Calibri"/>
          <w:color w:val="525866"/>
          <w:sz w:val="22"/>
        </w:rPr>
        <w:t>KMT noted it is 'prioritizing growth opportunities over restructuring initiatives in the near term' due to a unique combination of market recovery, strategic wins, and tungsten supply dynamics. This signals industrial end markets are improving enough to justify growth investment — a positive macro read-through.</w:t>
      </w:r>
    </w:p>
    <w:p>
      <w:pPr>
        <w:pStyle w:val="ListBullet"/>
        <w:ind w:left="360" w:hanging="360"/>
      </w:pPr>
      <w:r>
        <w:rPr>
          <w:rFonts w:ascii="Calibri" w:hAnsi="Calibri"/>
          <w:b/>
          <w:color w:val="525866"/>
          <w:sz w:val="22"/>
        </w:rPr>
        <w:t xml:space="preserve">Tungsten price surge — limited SNA read-through: </w:t>
      </w:r>
      <w:r>
        <w:rPr>
          <w:rFonts w:ascii="Calibri" w:hAnsi="Calibri"/>
          <w:color w:val="525866"/>
          <w:sz w:val="22"/>
        </w:rPr>
        <w:t>KMT's results were significantly impacted by tungsten prices rising from ~$900 to ~$3,000/metric ton, creating a large price-raw timing benefit. This is specific to KMT's business model and not directly applicable to SNA, though it highlights broader industrial commodity cost volatility that SNA has managed through its domestic manufacturing footprint.</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SNA</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SWK</w:t>
            </w:r>
          </w:p>
        </w:tc>
        <w:tc>
          <w:tcPr>
            <w:tcW w:type="dxa" w:w="2160"/>
          </w:tcPr>
          <w:p>
            <w:r>
              <w:rPr>
                <w:rFonts w:ascii="Calibri" w:hAnsi="Calibri"/>
                <w:sz w:val="22"/>
              </w:rPr>
              <w:t>Q1 2026 Earnings (Apr 29) &amp; Wells Fargo Conf. (Jun 9)</w:t>
            </w:r>
          </w:p>
        </w:tc>
        <w:tc>
          <w:tcPr>
            <w:tcW w:type="dxa" w:w="2160"/>
          </w:tcPr>
          <w:p>
            <w:r>
              <w:rPr>
                <w:rFonts w:ascii="Calibri" w:hAnsi="Calibri"/>
                <w:sz w:val="22"/>
              </w:rPr>
              <w:t>Professional demand holding up; tariff pricing equilibrium reached; data center tooling demand emerging</w:t>
            </w:r>
          </w:p>
        </w:tc>
        <w:tc>
          <w:tcPr>
            <w:tcW w:type="dxa" w:w="2160"/>
          </w:tcPr>
          <w:p>
            <w:r>
              <w:rPr>
                <w:rFonts w:ascii="Calibri" w:hAnsi="Calibri"/>
                <w:b/>
                <w:color w:val="30A46C"/>
                <w:sz w:val="22"/>
              </w:rPr>
              <w:t>Positive</w:t>
            </w:r>
          </w:p>
        </w:tc>
      </w:tr>
      <w:tr>
        <w:tc>
          <w:tcPr>
            <w:tcW w:type="dxa" w:w="2160"/>
          </w:tcPr>
          <w:p>
            <w:r>
              <w:rPr>
                <w:rFonts w:ascii="Calibri" w:hAnsi="Calibri"/>
                <w:sz w:val="22"/>
              </w:rPr>
              <w:t>TKR</w:t>
            </w:r>
          </w:p>
        </w:tc>
        <w:tc>
          <w:tcPr>
            <w:tcW w:type="dxa" w:w="2160"/>
          </w:tcPr>
          <w:p>
            <w:r>
              <w:rPr>
                <w:rFonts w:ascii="Calibri" w:hAnsi="Calibri"/>
                <w:sz w:val="22"/>
              </w:rPr>
              <w:t>Q1 2026 Earnings (May 6) &amp; Investor Day (May 20)</w:t>
            </w:r>
          </w:p>
        </w:tc>
        <w:tc>
          <w:tcPr>
            <w:tcW w:type="dxa" w:w="2160"/>
          </w:tcPr>
          <w:p>
            <w:r>
              <w:rPr>
                <w:rFonts w:ascii="Calibri" w:hAnsi="Calibri"/>
                <w:sz w:val="22"/>
              </w:rPr>
              <w:t>Industrial order books building; aerospace/defense strong; ag 'green shoots'; Middle East uncertainty not causing demand destruction</w:t>
            </w:r>
          </w:p>
        </w:tc>
        <w:tc>
          <w:tcPr>
            <w:tcW w:type="dxa" w:w="2160"/>
          </w:tcPr>
          <w:p>
            <w:r>
              <w:rPr>
                <w:rFonts w:ascii="Calibri" w:hAnsi="Calibri"/>
                <w:b/>
                <w:color w:val="30A46C"/>
                <w:sz w:val="22"/>
              </w:rPr>
              <w:t>Positive</w:t>
            </w:r>
          </w:p>
        </w:tc>
      </w:tr>
      <w:tr>
        <w:tc>
          <w:tcPr>
            <w:tcW w:type="dxa" w:w="2160"/>
          </w:tcPr>
          <w:p>
            <w:r>
              <w:rPr>
                <w:rFonts w:ascii="Calibri" w:hAnsi="Calibri"/>
                <w:sz w:val="22"/>
              </w:rPr>
              <w:t>TTC</w:t>
            </w:r>
          </w:p>
        </w:tc>
        <w:tc>
          <w:tcPr>
            <w:tcW w:type="dxa" w:w="2160"/>
          </w:tcPr>
          <w:p>
            <w:r>
              <w:rPr>
                <w:rFonts w:ascii="Calibri" w:hAnsi="Calibri"/>
                <w:sz w:val="22"/>
              </w:rPr>
              <w:t>Q2 2026 Earnings (Jun 4)</w:t>
            </w:r>
          </w:p>
        </w:tc>
        <w:tc>
          <w:tcPr>
            <w:tcW w:type="dxa" w:w="2160"/>
          </w:tcPr>
          <w:p>
            <w:r>
              <w:rPr>
                <w:rFonts w:ascii="Calibri" w:hAnsi="Calibri"/>
                <w:sz w:val="22"/>
              </w:rPr>
              <w:t>Professional demand robust (+9% YoY); field inventory healthy; full-year guidance raised; tariff impact manageable</w:t>
            </w:r>
          </w:p>
        </w:tc>
        <w:tc>
          <w:tcPr>
            <w:tcW w:type="dxa" w:w="2160"/>
          </w:tcPr>
          <w:p>
            <w:r>
              <w:rPr>
                <w:rFonts w:ascii="Calibri" w:hAnsi="Calibri"/>
                <w:b/>
                <w:color w:val="30A46C"/>
                <w:sz w:val="22"/>
              </w:rPr>
              <w:t>Positive</w:t>
            </w:r>
          </w:p>
        </w:tc>
      </w:tr>
      <w:tr>
        <w:tc>
          <w:tcPr>
            <w:tcW w:type="dxa" w:w="2160"/>
          </w:tcPr>
          <w:p>
            <w:r>
              <w:rPr>
                <w:rFonts w:ascii="Calibri" w:hAnsi="Calibri"/>
                <w:sz w:val="22"/>
              </w:rPr>
              <w:t>KMT</w:t>
            </w:r>
          </w:p>
        </w:tc>
        <w:tc>
          <w:tcPr>
            <w:tcW w:type="dxa" w:w="2160"/>
          </w:tcPr>
          <w:p>
            <w:r>
              <w:rPr>
                <w:rFonts w:ascii="Calibri" w:hAnsi="Calibri"/>
                <w:sz w:val="22"/>
              </w:rPr>
              <w:t>Q3 FY2026 Earnings (May 6)</w:t>
            </w:r>
          </w:p>
        </w:tc>
        <w:tc>
          <w:tcPr>
            <w:tcW w:type="dxa" w:w="2160"/>
          </w:tcPr>
          <w:p>
            <w:r>
              <w:rPr>
                <w:rFonts w:ascii="Calibri" w:hAnsi="Calibri"/>
                <w:sz w:val="22"/>
              </w:rPr>
              <w:t>Industrial volumes recovering; aerospace/defense up 20%+; prioritizing growth over restructuring; tungsten-specific dynamics not applicable to SNA</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2026 earnings is the Apollo diagnostic scan tool launch (May 2026), which directly addresses the tepid diagnostics comparisons that weighed on Q1 results and sets up a potential positive catalyst for Q2 2026 RS&amp;I and Tools Group performance. The Oppenheimer conference (May 6) provided the most substantive post-earnings color, with management's tone the most constructive in several quarters.</w:t>
      </w:r>
    </w:p>
    <w:p>
      <w:pPr>
        <w:pStyle w:val="ListBullet"/>
        <w:ind w:left="360" w:hanging="360"/>
      </w:pPr>
      <w:r>
        <w:rPr>
          <w:rFonts w:ascii="Calibri" w:hAnsi="Calibri"/>
          <w:b/>
          <w:color w:val="525866"/>
          <w:sz w:val="22"/>
        </w:rPr>
        <w:t xml:space="preserve">Apollo Diagnostic Scan Tool Launch (May 1, 2026): </w:t>
      </w:r>
      <w:r>
        <w:rPr>
          <w:rFonts w:ascii="Calibri" w:hAnsi="Calibri"/>
          <w:color w:val="525866"/>
          <w:sz w:val="22"/>
        </w:rPr>
        <w:t xml:space="preserve">Snap-on launched the Apollo, the third tier in its diagnostic lineup (below the Strike and TRITON), aimed at the middle market. Management described the launch as going 'pretty well' at the Oppenheimer conference. </w:t>
      </w:r>
    </w:p>
    <w:p>
      <w:pPr>
        <w:pStyle w:val="ListBullet"/>
        <w:ind w:left="360" w:hanging="360"/>
      </w:pPr>
      <w:r>
        <w:rPr>
          <w:rFonts w:ascii="Calibri" w:hAnsi="Calibri"/>
          <w:i/>
          <w:color w:val="525866"/>
          <w:sz w:val="22"/>
        </w:rPr>
        <w:t xml:space="preserve">Implication: </w:t>
      </w:r>
      <w:r>
        <w:rPr>
          <w:rFonts w:ascii="Calibri" w:hAnsi="Calibri"/>
          <w:color w:val="525866"/>
          <w:sz w:val="22"/>
        </w:rPr>
        <w:t>Diagnostics was one of the few weak spots in Q1 2026 (down YoY in the Tools Group), partly due to tough comparisons from the TRITON launch in Q2 2025. The Apollo launch should help address these comparisons in Q2 2026 and beyond, providing a potential tailwind to both Tools Group revenue and RS&amp;I.</w:t>
      </w:r>
    </w:p>
    <w:p>
      <w:pPr>
        <w:pStyle w:val="ListBullet"/>
        <w:ind w:left="360" w:hanging="360"/>
      </w:pPr>
      <w:r>
        <w:rPr>
          <w:rFonts w:ascii="Calibri" w:hAnsi="Calibri"/>
          <w:b/>
          <w:color w:val="525866"/>
          <w:sz w:val="22"/>
        </w:rPr>
        <w:t xml:space="preserve">Oppenheimer Industrial Growth Conference (May 6, 2026): </w:t>
      </w:r>
      <w:r>
        <w:rPr>
          <w:rFonts w:ascii="Calibri" w:hAnsi="Calibri"/>
          <w:color w:val="525866"/>
          <w:sz w:val="22"/>
        </w:rPr>
        <w:t xml:space="preserve">CEO Pinchuk provided the most substantive post-Q1 color: C&amp;I critical industries at their highest level in nearly two years with profitability comparable to the Tools Group; franchisee sell-through exceeding sell-in for the past couple of quarters; ~25 franchisees from the National Franchisee Advisory Council described as 'broadly optimistic'; tariff comparisons easing from Q2 onward. </w:t>
      </w:r>
    </w:p>
    <w:p>
      <w:pPr>
        <w:pStyle w:val="ListBullet"/>
        <w:ind w:left="360" w:hanging="360"/>
      </w:pPr>
      <w:r>
        <w:rPr>
          <w:rFonts w:ascii="Calibri" w:hAnsi="Calibri"/>
          <w:i/>
          <w:color w:val="525866"/>
          <w:sz w:val="22"/>
        </w:rPr>
        <w:t xml:space="preserve">Implication: </w:t>
      </w:r>
      <w:r>
        <w:rPr>
          <w:rFonts w:ascii="Calibri" w:hAnsi="Calibri"/>
          <w:color w:val="525866"/>
          <w:sz w:val="22"/>
        </w:rPr>
        <w:t>The conference reinforced the 'early thaw' narrative and provided incremental positive color beyond the Q1 earnings call, but the Street has not revised estimates upward — creating a potential setup for upside surprise.</w:t>
      </w:r>
    </w:p>
    <w:p>
      <w:pPr>
        <w:pStyle w:val="ListBullet"/>
        <w:ind w:left="360" w:hanging="360"/>
      </w:pPr>
      <w:r>
        <w:rPr>
          <w:rFonts w:ascii="Calibri" w:hAnsi="Calibri"/>
          <w:b/>
          <w:color w:val="525866"/>
          <w:sz w:val="22"/>
        </w:rPr>
        <w:t xml:space="preserve">Q2 2026 Earnings Webcast Announcement (Jul 9, 2026): </w:t>
      </w:r>
      <w:r>
        <w:rPr>
          <w:rFonts w:ascii="Calibri" w:hAnsi="Calibri"/>
          <w:color w:val="525866"/>
          <w:sz w:val="22"/>
        </w:rPr>
        <w:t xml:space="preserve">Snap-on confirmed Q2 2026 results will be released July 23, 2026 before market open, with a conference call at 10:00 AM ET. No pre-announcement or guidance update was issued alongside this announcement. </w:t>
      </w:r>
    </w:p>
    <w:p>
      <w:pPr>
        <w:pStyle w:val="ListBullet"/>
        <w:ind w:left="360" w:hanging="360"/>
      </w:pPr>
      <w:r>
        <w:rPr>
          <w:rFonts w:ascii="Calibri" w:hAnsi="Calibri"/>
          <w:i/>
          <w:color w:val="525866"/>
          <w:sz w:val="22"/>
        </w:rPr>
        <w:t xml:space="preserve">Implication: </w:t>
      </w:r>
      <w:r>
        <w:rPr>
          <w:rFonts w:ascii="Calibri" w:hAnsi="Calibri"/>
          <w:color w:val="525866"/>
          <w:sz w:val="22"/>
        </w:rPr>
        <w:t>The absence of a pre-announcement (positive or negative) is consistent with results tracking in line with or above expectations.</w:t>
      </w:r>
    </w:p>
    <w:p>
      <w:pPr>
        <w:pStyle w:val="ListBullet"/>
        <w:ind w:left="360" w:hanging="360"/>
      </w:pPr>
      <w:r>
        <w:rPr>
          <w:rFonts w:ascii="Calibri" w:hAnsi="Calibri"/>
          <w:b/>
          <w:color w:val="525866"/>
          <w:sz w:val="22"/>
        </w:rPr>
        <w:t xml:space="preserve">Annual Meeting — Shareholders Approve Directors, Auditor, and Executive Pay (May 1, 2026): </w:t>
      </w:r>
      <w:r>
        <w:rPr>
          <w:rFonts w:ascii="Calibri" w:hAnsi="Calibri"/>
          <w:color w:val="525866"/>
          <w:sz w:val="22"/>
        </w:rPr>
        <w:t>Routine annual meeting; no material governance changes. No activist activity or contested votes noted.</w:t>
      </w:r>
    </w:p>
    <w:p>
      <w:pPr>
        <w:pStyle w:val="ListBullet"/>
        <w:ind w:left="360" w:hanging="360"/>
      </w:pPr>
      <w:r>
        <w:rPr>
          <w:rFonts w:ascii="Calibri" w:hAnsi="Calibri"/>
          <w:b/>
          <w:color w:val="525866"/>
          <w:sz w:val="22"/>
        </w:rPr>
        <w:t xml:space="preserve">Tariff Lapping Tailwind (Ongoing): </w:t>
      </w:r>
      <w:r>
        <w:rPr>
          <w:rFonts w:ascii="Calibri" w:hAnsi="Calibri"/>
          <w:color w:val="525866"/>
          <w:sz w:val="22"/>
        </w:rPr>
        <w:t xml:space="preserve">Management explicitly flagged at both the Q1 earnings call and Oppenheimer conference that Q2, Q3, and Q4 2026 will be lapping prior-year tariff headwinds, making year-over-year comparisons progressively easier. </w:t>
      </w:r>
    </w:p>
    <w:p>
      <w:pPr>
        <w:pStyle w:val="ListBullet"/>
        <w:ind w:left="360" w:hanging="360"/>
      </w:pPr>
      <w:r>
        <w:rPr>
          <w:rFonts w:ascii="Calibri" w:hAnsi="Calibri"/>
          <w:i/>
          <w:color w:val="525866"/>
          <w:sz w:val="22"/>
        </w:rPr>
        <w:t xml:space="preserve">Implication: </w:t>
      </w:r>
      <w:r>
        <w:rPr>
          <w:rFonts w:ascii="Calibri" w:hAnsi="Calibri"/>
          <w:color w:val="525866"/>
          <w:sz w:val="22"/>
        </w:rPr>
        <w:t>This is a structural tailwind for gross margin comparisons in Q2 2026 that the Street may not have fully priced in.</w:t>
      </w:r>
    </w:p>
    <w:p>
      <w:pPr>
        <w:pStyle w:val="ListBullet"/>
        <w:ind w:left="360" w:hanging="360"/>
      </w:pPr>
      <w:r>
        <w:rPr>
          <w:rFonts w:ascii="Calibri" w:hAnsi="Calibri"/>
          <w:b/>
          <w:color w:val="525866"/>
          <w:sz w:val="22"/>
        </w:rPr>
        <w:t xml:space="preserve">Asia Pacific Momentum (Ongoing): </w:t>
      </w:r>
      <w:r>
        <w:rPr>
          <w:rFonts w:ascii="Calibri" w:hAnsi="Calibri"/>
          <w:color w:val="525866"/>
          <w:sz w:val="22"/>
        </w:rPr>
        <w:t xml:space="preserve">Management described growing momentum in Asia Pacific at the Oppenheimer conference, with increasing customer appreciation for premium Snap-on products and rising demand for sophisticated offerings such as automated tool control boxes. </w:t>
      </w:r>
    </w:p>
    <w:p>
      <w:pPr>
        <w:pStyle w:val="ListBullet"/>
        <w:ind w:left="360" w:hanging="360"/>
      </w:pPr>
      <w:r>
        <w:rPr>
          <w:rFonts w:ascii="Calibri" w:hAnsi="Calibri"/>
          <w:i/>
          <w:color w:val="525866"/>
          <w:sz w:val="22"/>
        </w:rPr>
        <w:t xml:space="preserve">Implication: </w:t>
      </w:r>
      <w:r>
        <w:rPr>
          <w:rFonts w:ascii="Calibri" w:hAnsi="Calibri"/>
          <w:color w:val="525866"/>
          <w:sz w:val="22"/>
        </w:rPr>
        <w:t>An emerging growth opportunity that could provide incremental upside to C&amp;I segment revenue in Q2 and beyond.</w:t>
      </w:r>
    </w:p>
    <w:p>
      <w:pPr>
        <w:pStyle w:val="ListBullet"/>
        <w:ind w:left="360" w:hanging="360"/>
      </w:pPr>
      <w:r>
        <w:rPr>
          <w:rFonts w:ascii="Calibri" w:hAnsi="Calibri"/>
          <w:b/>
          <w:color w:val="525866"/>
          <w:sz w:val="22"/>
        </w:rPr>
        <w:t xml:space="preserve">AI Disruption Risk to Diagnostics (Acknowledged Q1 2026): </w:t>
      </w:r>
      <w:r>
        <w:rPr>
          <w:rFonts w:ascii="Calibri" w:hAnsi="Calibri"/>
          <w:color w:val="525866"/>
          <w:sz w:val="22"/>
        </w:rPr>
        <w:t xml:space="preserve">Management made the first explicit acknowledgment that AI could potentially replicate Snap-on's proprietary repair database in a shorter timeframe than it took to build, using the Perplexity/Bloomberg analogy. Management stated the company must be 'prepared for that eventuality.' </w:t>
      </w:r>
    </w:p>
    <w:p>
      <w:pPr>
        <w:pStyle w:val="ListBullet"/>
        <w:ind w:left="360" w:hanging="360"/>
      </w:pPr>
      <w:r>
        <w:rPr>
          <w:rFonts w:ascii="Calibri" w:hAnsi="Calibri"/>
          <w:i/>
          <w:color w:val="525866"/>
          <w:sz w:val="22"/>
        </w:rPr>
        <w:t xml:space="preserve">Implication: </w:t>
      </w:r>
      <w:r>
        <w:rPr>
          <w:rFonts w:ascii="Calibri" w:hAnsi="Calibri"/>
          <w:color w:val="525866"/>
          <w:sz w:val="22"/>
        </w:rPr>
        <w:t>A longer-term risk to the RS&amp;I software moat that the market is beginning to price in; management's candor on this topic is notable and bears monitoring.</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2026 earnings are sales — no open-market buys. The majority are 10b5-1 planned sales (pre-scheduled, not discretionary), which limits the negative signal. The one notable exception is Jesus Arregui (Sr. VP &amp; President — Commercial), who sold 4,251 shares on June 10 outside of a 10b5-1 plan — the largest discretionary sale in the period and worth monitoring, though the position size remaining (4,439 shares) is still meaningful.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Nicholas T. Pinchuk</w:t>
            </w:r>
          </w:p>
        </w:tc>
        <w:tc>
          <w:tcPr>
            <w:tcW w:type="dxa" w:w="1440"/>
          </w:tcPr>
          <w:p>
            <w:r>
              <w:rPr>
                <w:rFonts w:ascii="Calibri" w:hAnsi="Calibri"/>
                <w:sz w:val="22"/>
              </w:rPr>
              <w:t>Chairman, President &amp; CEO</w:t>
            </w:r>
          </w:p>
        </w:tc>
        <w:tc>
          <w:tcPr>
            <w:tcW w:type="dxa" w:w="1440"/>
          </w:tcPr>
          <w:p>
            <w:r>
              <w:rPr>
                <w:rFonts w:ascii="Calibri" w:hAnsi="Calibri"/>
                <w:sz w:val="22"/>
              </w:rPr>
              <w:t>Open Market Sale (10b5-1)</w:t>
            </w:r>
          </w:p>
        </w:tc>
        <w:tc>
          <w:tcPr>
            <w:tcW w:type="dxa" w:w="1440"/>
          </w:tcPr>
          <w:p>
            <w:r>
              <w:rPr>
                <w:rFonts w:ascii="Calibri" w:hAnsi="Calibri"/>
                <w:sz w:val="22"/>
              </w:rPr>
              <w:t>23,396</w:t>
            </w:r>
          </w:p>
        </w:tc>
        <w:tc>
          <w:tcPr>
            <w:tcW w:type="dxa" w:w="1440"/>
          </w:tcPr>
          <w:p>
            <w:r>
              <w:rPr>
                <w:rFonts w:ascii="Calibri" w:hAnsi="Calibri"/>
                <w:sz w:val="22"/>
              </w:rPr>
              <w:t>May 5, 2026</w:t>
            </w:r>
          </w:p>
        </w:tc>
        <w:tc>
          <w:tcPr>
            <w:tcW w:type="dxa" w:w="1440"/>
          </w:tcPr>
          <w:p>
            <w:r>
              <w:rPr>
                <w:rFonts w:ascii="Calibri" w:hAnsi="Calibri"/>
                <w:sz w:val="22"/>
              </w:rPr>
              <w:t>Pre-planned 10b5-1 sale; 856,918 shares retained post-transaction. Routine planned sale.</w:t>
            </w:r>
          </w:p>
        </w:tc>
      </w:tr>
      <w:tr>
        <w:tc>
          <w:tcPr>
            <w:tcW w:type="dxa" w:w="1440"/>
          </w:tcPr>
          <w:p>
            <w:r>
              <w:rPr>
                <w:rFonts w:ascii="Calibri" w:hAnsi="Calibri"/>
                <w:sz w:val="22"/>
              </w:rPr>
              <w:t>Aldo John Pagliari</w:t>
            </w:r>
          </w:p>
        </w:tc>
        <w:tc>
          <w:tcPr>
            <w:tcW w:type="dxa" w:w="1440"/>
          </w:tcPr>
          <w:p>
            <w:r>
              <w:rPr>
                <w:rFonts w:ascii="Calibri" w:hAnsi="Calibri"/>
                <w:sz w:val="22"/>
              </w:rPr>
              <w:t>Sr. VP Finance &amp; CFO</w:t>
            </w:r>
          </w:p>
        </w:tc>
        <w:tc>
          <w:tcPr>
            <w:tcW w:type="dxa" w:w="1440"/>
          </w:tcPr>
          <w:p>
            <w:r>
              <w:rPr>
                <w:rFonts w:ascii="Calibri" w:hAnsi="Calibri"/>
                <w:sz w:val="22"/>
              </w:rPr>
              <w:t>Open Market Sale (10b5-1)</w:t>
            </w:r>
          </w:p>
        </w:tc>
        <w:tc>
          <w:tcPr>
            <w:tcW w:type="dxa" w:w="1440"/>
          </w:tcPr>
          <w:p>
            <w:r>
              <w:rPr>
                <w:rFonts w:ascii="Calibri" w:hAnsi="Calibri"/>
                <w:sz w:val="22"/>
              </w:rPr>
              <w:t>5,713</w:t>
            </w:r>
          </w:p>
        </w:tc>
        <w:tc>
          <w:tcPr>
            <w:tcW w:type="dxa" w:w="1440"/>
          </w:tcPr>
          <w:p>
            <w:r>
              <w:rPr>
                <w:rFonts w:ascii="Calibri" w:hAnsi="Calibri"/>
                <w:sz w:val="22"/>
              </w:rPr>
              <w:t>May 14, 2026</w:t>
            </w:r>
          </w:p>
        </w:tc>
        <w:tc>
          <w:tcPr>
            <w:tcW w:type="dxa" w:w="1440"/>
          </w:tcPr>
          <w:p>
            <w:r>
              <w:rPr>
                <w:rFonts w:ascii="Calibri" w:hAnsi="Calibri"/>
                <w:sz w:val="22"/>
              </w:rPr>
              <w:t>Pre-planned 10b5-1 sale; 119,488 shares retained post-transaction. Routine planned sale.</w:t>
            </w:r>
          </w:p>
        </w:tc>
      </w:tr>
      <w:tr>
        <w:tc>
          <w:tcPr>
            <w:tcW w:type="dxa" w:w="1440"/>
          </w:tcPr>
          <w:p>
            <w:r>
              <w:rPr>
                <w:rFonts w:ascii="Calibri" w:hAnsi="Calibri"/>
                <w:sz w:val="22"/>
              </w:rPr>
              <w:t>Aldo John Pagliari</w:t>
            </w:r>
          </w:p>
        </w:tc>
        <w:tc>
          <w:tcPr>
            <w:tcW w:type="dxa" w:w="1440"/>
          </w:tcPr>
          <w:p>
            <w:r>
              <w:rPr>
                <w:rFonts w:ascii="Calibri" w:hAnsi="Calibri"/>
                <w:sz w:val="22"/>
              </w:rPr>
              <w:t>Sr. VP Finance &amp; CFO</w:t>
            </w:r>
          </w:p>
        </w:tc>
        <w:tc>
          <w:tcPr>
            <w:tcW w:type="dxa" w:w="1440"/>
          </w:tcPr>
          <w:p>
            <w:r>
              <w:rPr>
                <w:rFonts w:ascii="Calibri" w:hAnsi="Calibri"/>
                <w:sz w:val="22"/>
              </w:rPr>
              <w:t>Open Market Sale (Discretionary)</w:t>
            </w:r>
          </w:p>
        </w:tc>
        <w:tc>
          <w:tcPr>
            <w:tcW w:type="dxa" w:w="1440"/>
          </w:tcPr>
          <w:p>
            <w:r>
              <w:rPr>
                <w:rFonts w:ascii="Calibri" w:hAnsi="Calibri"/>
                <w:sz w:val="22"/>
              </w:rPr>
              <w:t>1,330</w:t>
            </w:r>
          </w:p>
        </w:tc>
        <w:tc>
          <w:tcPr>
            <w:tcW w:type="dxa" w:w="1440"/>
          </w:tcPr>
          <w:p>
            <w:r>
              <w:rPr>
                <w:rFonts w:ascii="Calibri" w:hAnsi="Calibri"/>
                <w:sz w:val="22"/>
              </w:rPr>
              <w:t>Jun 4, 2026</w:t>
            </w:r>
          </w:p>
        </w:tc>
        <w:tc>
          <w:tcPr>
            <w:tcW w:type="dxa" w:w="1440"/>
          </w:tcPr>
          <w:p>
            <w:r>
              <w:rPr>
                <w:rFonts w:ascii="Calibri" w:hAnsi="Calibri"/>
                <w:sz w:val="22"/>
              </w:rPr>
              <w:t>Discretionary sale (not 10b5-1); 118,158 shares retained. Modest size relative to total holdings.</w:t>
            </w:r>
          </w:p>
        </w:tc>
      </w:tr>
      <w:tr>
        <w:tc>
          <w:tcPr>
            <w:tcW w:type="dxa" w:w="1440"/>
          </w:tcPr>
          <w:p>
            <w:r>
              <w:rPr>
                <w:rFonts w:ascii="Calibri" w:hAnsi="Calibri"/>
                <w:sz w:val="22"/>
              </w:rPr>
              <w:t>Jesus Arregui</w:t>
            </w:r>
          </w:p>
        </w:tc>
        <w:tc>
          <w:tcPr>
            <w:tcW w:type="dxa" w:w="1440"/>
          </w:tcPr>
          <w:p>
            <w:r>
              <w:rPr>
                <w:rFonts w:ascii="Calibri" w:hAnsi="Calibri"/>
                <w:sz w:val="22"/>
              </w:rPr>
              <w:t>Sr. VP &amp; President — Commercial</w:t>
            </w:r>
          </w:p>
        </w:tc>
        <w:tc>
          <w:tcPr>
            <w:tcW w:type="dxa" w:w="1440"/>
          </w:tcPr>
          <w:p>
            <w:r>
              <w:rPr>
                <w:rFonts w:ascii="Calibri" w:hAnsi="Calibri"/>
                <w:sz w:val="22"/>
              </w:rPr>
              <w:t>Open Market Sale (Discretionary)</w:t>
            </w:r>
          </w:p>
        </w:tc>
        <w:tc>
          <w:tcPr>
            <w:tcW w:type="dxa" w:w="1440"/>
          </w:tcPr>
          <w:p>
            <w:r>
              <w:rPr>
                <w:rFonts w:ascii="Calibri" w:hAnsi="Calibri"/>
                <w:sz w:val="22"/>
              </w:rPr>
              <w:t>4,251</w:t>
            </w:r>
          </w:p>
        </w:tc>
        <w:tc>
          <w:tcPr>
            <w:tcW w:type="dxa" w:w="1440"/>
          </w:tcPr>
          <w:p>
            <w:r>
              <w:rPr>
                <w:rFonts w:ascii="Calibri" w:hAnsi="Calibri"/>
                <w:sz w:val="22"/>
              </w:rPr>
              <w:t>Jun 10, 2026</w:t>
            </w:r>
          </w:p>
        </w:tc>
        <w:tc>
          <w:tcPr>
            <w:tcW w:type="dxa" w:w="1440"/>
          </w:tcPr>
          <w:p>
            <w:r>
              <w:rPr>
                <w:rFonts w:ascii="Calibri" w:hAnsi="Calibri"/>
                <w:sz w:val="22"/>
              </w:rPr>
              <w:t>Discretionary sale (not 10b5-1); largest discretionary sale in the period. 4,439 shares retained post-transaction. Worth monitoring.</w:t>
            </w:r>
          </w:p>
        </w:tc>
      </w:tr>
      <w:tr>
        <w:tc>
          <w:tcPr>
            <w:tcW w:type="dxa" w:w="1440"/>
          </w:tcPr>
          <w:p>
            <w:r>
              <w:rPr>
                <w:rFonts w:ascii="Calibri" w:hAnsi="Calibri"/>
                <w:sz w:val="22"/>
              </w:rPr>
              <w:t>Richard Thomas Miller</w:t>
            </w:r>
          </w:p>
        </w:tc>
        <w:tc>
          <w:tcPr>
            <w:tcW w:type="dxa" w:w="1440"/>
          </w:tcPr>
          <w:p>
            <w:r>
              <w:rPr>
                <w:rFonts w:ascii="Calibri" w:hAnsi="Calibri"/>
                <w:sz w:val="22"/>
              </w:rPr>
              <w:t>VP, General Counsel &amp; Secretary</w:t>
            </w:r>
          </w:p>
        </w:tc>
        <w:tc>
          <w:tcPr>
            <w:tcW w:type="dxa" w:w="1440"/>
          </w:tcPr>
          <w:p>
            <w:r>
              <w:rPr>
                <w:rFonts w:ascii="Calibri" w:hAnsi="Calibri"/>
                <w:sz w:val="22"/>
              </w:rPr>
              <w:t>Open Market Sale (10b5-1)</w:t>
            </w:r>
          </w:p>
        </w:tc>
        <w:tc>
          <w:tcPr>
            <w:tcW w:type="dxa" w:w="1440"/>
          </w:tcPr>
          <w:p>
            <w:r>
              <w:rPr>
                <w:rFonts w:ascii="Calibri" w:hAnsi="Calibri"/>
                <w:sz w:val="22"/>
              </w:rPr>
              <w:t>427</w:t>
            </w:r>
          </w:p>
        </w:tc>
        <w:tc>
          <w:tcPr>
            <w:tcW w:type="dxa" w:w="1440"/>
          </w:tcPr>
          <w:p>
            <w:r>
              <w:rPr>
                <w:rFonts w:ascii="Calibri" w:hAnsi="Calibri"/>
                <w:sz w:val="22"/>
              </w:rPr>
              <w:t>Jun 10, 2026</w:t>
            </w:r>
          </w:p>
        </w:tc>
        <w:tc>
          <w:tcPr>
            <w:tcW w:type="dxa" w:w="1440"/>
          </w:tcPr>
          <w:p>
            <w:r>
              <w:rPr>
                <w:rFonts w:ascii="Calibri" w:hAnsi="Calibri"/>
                <w:sz w:val="22"/>
              </w:rPr>
              <w:t>Pre-planned 10b5-1 sale; 4,527 shares retained. Routine planned sale.</w:t>
            </w:r>
          </w:p>
        </w:tc>
      </w:tr>
      <w:tr>
        <w:tc>
          <w:tcPr>
            <w:tcW w:type="dxa" w:w="1440"/>
          </w:tcPr>
          <w:p>
            <w:r>
              <w:rPr>
                <w:rFonts w:ascii="Calibri" w:hAnsi="Calibri"/>
                <w:sz w:val="22"/>
              </w:rPr>
              <w:t>Richard Thomas Miller</w:t>
            </w:r>
          </w:p>
        </w:tc>
        <w:tc>
          <w:tcPr>
            <w:tcW w:type="dxa" w:w="1440"/>
          </w:tcPr>
          <w:p>
            <w:r>
              <w:rPr>
                <w:rFonts w:ascii="Calibri" w:hAnsi="Calibri"/>
                <w:sz w:val="22"/>
              </w:rPr>
              <w:t>VP, General Counsel &amp; Secretary</w:t>
            </w:r>
          </w:p>
        </w:tc>
        <w:tc>
          <w:tcPr>
            <w:tcW w:type="dxa" w:w="1440"/>
          </w:tcPr>
          <w:p>
            <w:r>
              <w:rPr>
                <w:rFonts w:ascii="Calibri" w:hAnsi="Calibri"/>
                <w:sz w:val="22"/>
              </w:rPr>
              <w:t>Open Market Sale (10b5-1)</w:t>
            </w:r>
          </w:p>
        </w:tc>
        <w:tc>
          <w:tcPr>
            <w:tcW w:type="dxa" w:w="1440"/>
          </w:tcPr>
          <w:p>
            <w:r>
              <w:rPr>
                <w:rFonts w:ascii="Calibri" w:hAnsi="Calibri"/>
                <w:sz w:val="22"/>
              </w:rPr>
              <w:t>2,000</w:t>
            </w:r>
          </w:p>
        </w:tc>
        <w:tc>
          <w:tcPr>
            <w:tcW w:type="dxa" w:w="1440"/>
          </w:tcPr>
          <w:p>
            <w:r>
              <w:rPr>
                <w:rFonts w:ascii="Calibri" w:hAnsi="Calibri"/>
                <w:sz w:val="22"/>
              </w:rPr>
              <w:t>Jul 1, 2026</w:t>
            </w:r>
          </w:p>
        </w:tc>
        <w:tc>
          <w:tcPr>
            <w:tcW w:type="dxa" w:w="1440"/>
          </w:tcPr>
          <w:p>
            <w:r>
              <w:rPr>
                <w:rFonts w:ascii="Calibri" w:hAnsi="Calibri"/>
                <w:sz w:val="22"/>
              </w:rPr>
              <w:t>Pre-planned 10b5-1 sale; 4,529 shares retained. Routine planned sale.</w:t>
            </w:r>
          </w:p>
        </w:tc>
      </w:tr>
      <w:tr>
        <w:tc>
          <w:tcPr>
            <w:tcW w:type="dxa" w:w="1440"/>
          </w:tcPr>
          <w:p>
            <w:r>
              <w:rPr>
                <w:rFonts w:ascii="Calibri" w:hAnsi="Calibri"/>
                <w:sz w:val="22"/>
              </w:rPr>
              <w:t>Timothy L. Chambers</w:t>
            </w:r>
          </w:p>
        </w:tc>
        <w:tc>
          <w:tcPr>
            <w:tcW w:type="dxa" w:w="1440"/>
          </w:tcPr>
          <w:p>
            <w:r>
              <w:rPr>
                <w:rFonts w:ascii="Calibri" w:hAnsi="Calibri"/>
                <w:sz w:val="22"/>
              </w:rPr>
              <w:t>Sr. VP &amp; President — Tools</w:t>
            </w:r>
          </w:p>
        </w:tc>
        <w:tc>
          <w:tcPr>
            <w:tcW w:type="dxa" w:w="1440"/>
          </w:tcPr>
          <w:p>
            <w:r>
              <w:rPr>
                <w:rFonts w:ascii="Calibri" w:hAnsi="Calibri"/>
                <w:sz w:val="22"/>
              </w:rPr>
              <w:t>Open Market Sale (10b5-1)</w:t>
            </w:r>
          </w:p>
        </w:tc>
        <w:tc>
          <w:tcPr>
            <w:tcW w:type="dxa" w:w="1440"/>
          </w:tcPr>
          <w:p>
            <w:r>
              <w:rPr>
                <w:rFonts w:ascii="Calibri" w:hAnsi="Calibri"/>
                <w:sz w:val="22"/>
              </w:rPr>
              <w:t>389</w:t>
            </w:r>
          </w:p>
        </w:tc>
        <w:tc>
          <w:tcPr>
            <w:tcW w:type="dxa" w:w="1440"/>
          </w:tcPr>
          <w:p>
            <w:r>
              <w:rPr>
                <w:rFonts w:ascii="Calibri" w:hAnsi="Calibri"/>
                <w:sz w:val="22"/>
              </w:rPr>
              <w:t>Jul 17, 2026</w:t>
            </w:r>
          </w:p>
        </w:tc>
        <w:tc>
          <w:tcPr>
            <w:tcW w:type="dxa" w:w="1440"/>
          </w:tcPr>
          <w:p>
            <w:r>
              <w:rPr>
                <w:rFonts w:ascii="Calibri" w:hAnsi="Calibri"/>
                <w:sz w:val="22"/>
              </w:rPr>
              <w:t>Pre-planned 10b5-1 sale; 21,223 shares retained. Routine planned sale. Filed Jul 21, 2026.</w:t>
            </w:r>
          </w:p>
        </w:tc>
      </w:tr>
    </w:tbl>
    <w:p>
      <w:r>
        <w:rPr>
          <w:rFonts w:ascii="Calibri" w:hAnsi="Calibri"/>
          <w:i/>
          <w:color w:val="525866"/>
          <w:sz w:val="22"/>
        </w:rPr>
        <w:t>Source: SEC Form 4 Filings (Insider Transaction Data). All transactions are open-market sales (Form 4 Code S). No open-market purchases were filed in the period. The majority of sales are pre-scheduled 10b5-1 plan transactions and should not be interpreted as a negative signal. The discretionary sales by CFO Pagliari (Jun 4) and SVP Arregui (Jun 10) are the only non-plan transactions; both retain significant share positions.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