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Snap-on Incorporated (SNA) — 2Q26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Prepared Date</w:t>
            </w:r>
          </w:p>
        </w:tc>
        <w:tc>
          <w:tcPr>
            <w:tcW w:type="dxa" w:w="2160"/>
          </w:tcPr>
          <w:p>
            <w:r>
              <w:rPr>
                <w:rFonts w:ascii="Calibri" w:hAnsi="Calibri"/>
                <w:sz w:val="22"/>
              </w:rPr>
              <w:t>July 22, 2026</w:t>
            </w:r>
          </w:p>
        </w:tc>
        <w:tc>
          <w:tcPr>
            <w:tcW w:type="dxa" w:w="2160"/>
          </w:tcPr>
          <w:p>
            <w:r>
              <w:rPr>
                <w:rFonts w:ascii="Calibri" w:hAnsi="Calibri"/>
                <w:b/>
                <w:sz w:val="22"/>
              </w:rPr>
              <w:t>Earnings Date</w:t>
            </w:r>
          </w:p>
        </w:tc>
        <w:tc>
          <w:tcPr>
            <w:tcW w:type="dxa" w:w="2160"/>
          </w:tcPr>
          <w:p>
            <w:r>
              <w:rPr>
                <w:rFonts w:ascii="Calibri" w:hAnsi="Calibri"/>
                <w:sz w:val="22"/>
              </w:rPr>
              <w:t>July 23, 2026</w:t>
            </w:r>
          </w:p>
        </w:tc>
      </w:tr>
      <w:tr>
        <w:tc>
          <w:tcPr>
            <w:tcW w:type="dxa" w:w="2160"/>
          </w:tcPr>
          <w:p>
            <w:r>
              <w:rPr>
                <w:rFonts w:ascii="Calibri" w:hAnsi="Calibri"/>
                <w:b/>
                <w:sz w:val="22"/>
              </w:rPr>
              <w:t>Reporting Period</w:t>
            </w:r>
          </w:p>
        </w:tc>
        <w:tc>
          <w:tcPr>
            <w:tcW w:type="dxa" w:w="2160"/>
          </w:tcPr>
          <w:p>
            <w:r>
              <w:rPr>
                <w:rFonts w:ascii="Calibri" w:hAnsi="Calibri"/>
                <w:sz w:val="22"/>
              </w:rPr>
              <w:t>2Q 2026 (quarter ended June 30, 2026)</w:t>
            </w:r>
          </w:p>
        </w:tc>
        <w:tc>
          <w:tcPr>
            <w:tcW w:type="dxa" w:w="2160"/>
          </w:tcPr>
          <w:p>
            <w:r>
              <w:rPr>
                <w:rFonts w:ascii="Calibri" w:hAnsi="Calibri"/>
                <w:b/>
                <w:sz w:val="22"/>
              </w:rPr>
              <w:t>Event</w:t>
            </w:r>
          </w:p>
        </w:tc>
        <w:tc>
          <w:tcPr>
            <w:tcW w:type="dxa" w:w="2160"/>
          </w:tcPr>
          <w:p>
            <w:r>
              <w:rPr>
                <w:rFonts w:ascii="Calibri" w:hAnsi="Calibri"/>
                <w:sz w:val="22"/>
              </w:rPr>
              <w:t>2Q26 Earnings Call, 10:00 AM ET</w:t>
            </w:r>
          </w:p>
        </w:tc>
      </w:tr>
      <w:tr>
        <w:tc>
          <w:tcPr>
            <w:tcW w:type="dxa" w:w="2160"/>
          </w:tcPr>
          <w:p>
            <w:r>
              <w:rPr>
                <w:rFonts w:ascii="Calibri" w:hAnsi="Calibri"/>
                <w:b/>
                <w:sz w:val="22"/>
              </w:rPr>
              <w:t>Sector ETF Benchmark</w:t>
            </w:r>
          </w:p>
        </w:tc>
        <w:tc>
          <w:tcPr>
            <w:tcW w:type="dxa" w:w="2160"/>
          </w:tcPr>
          <w:p>
            <w:r>
              <w:rPr>
                <w:rFonts w:ascii="Calibri" w:hAnsi="Calibri"/>
                <w:sz w:val="22"/>
              </w:rPr>
              <w:t>XLI (Industrial Select Sector SPDR)</w:t>
            </w:r>
          </w:p>
        </w:tc>
        <w:tc>
          <w:tcPr>
            <w:tcW w:type="dxa" w:w="2160"/>
          </w:tcPr>
          <w:p>
            <w:r>
              <w:rPr>
                <w:rFonts w:ascii="Calibri" w:hAnsi="Calibri"/>
                <w:b/>
                <w:sz w:val="22"/>
              </w:rPr>
              <w:t>Primary Valuation Metric</w:t>
            </w:r>
          </w:p>
        </w:tc>
        <w:tc>
          <w:tcPr>
            <w:tcW w:type="dxa" w:w="2160"/>
          </w:tcPr>
          <w:p>
            <w:r>
              <w:rPr>
                <w:rFonts w:ascii="Calibri" w:hAnsi="Calibri"/>
                <w:sz w:val="22"/>
              </w:rPr>
              <w:t>P/E (NTM ~19.7x)</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2Q26 is modestly constructive — consensus is not a high bar, the product cycle is improving with the Apollo diagnostic launch, and tariff comparisons begin to lap favorably — but the single biggest swing factor is whether the nascent recovery in tool storage and technician confidence seen in 1Q26 continued through the April-June period.</w:t>
      </w:r>
    </w:p>
    <w:p>
      <w:r>
        <w:rPr>
          <w:rFonts w:ascii="Calibri" w:hAnsi="Calibri"/>
          <w:color w:val="525866"/>
          <w:sz w:val="22"/>
        </w:rPr>
        <w:t xml:space="preserve">Heading into the 2Q26 print, Snap-on faces a consensus EPS estimate of ~$4.93 (Visible Alpha), a bar that has drifted modestly lower since the 1Q26 report as currency headwinds and OEM dealership softness weighed on RS&amp;I expectations. Management's tone coming out of the April 23 earnings call was one of </w:t>
      </w:r>
      <w:r>
        <w:rPr>
          <w:rFonts w:ascii="Calibri" w:hAnsi="Calibri"/>
          <w:b/>
          <w:color w:val="525866"/>
          <w:sz w:val="22"/>
        </w:rPr>
        <w:t>cautious optimism</w:t>
      </w:r>
      <w:r>
        <w:rPr>
          <w:rFonts w:ascii="Calibri" w:hAnsi="Calibri"/>
          <w:color w:val="525866"/>
          <w:sz w:val="22"/>
        </w:rPr>
        <w:t xml:space="preserve"> — describing an "early thaw" in technician demand, with tool storage units up year-over-year for the first time in an extended period and franchisee sentiment described as broadly positive. At the May 6 Oppenheimer Industrial Growth Conference, management added that C&amp;I critical industries reached their highest level in nearly two years, the Apollo diagnostic scan tool launched in early May targeting the middle market, and tariffs are "starting to lap" for Q2-Q4 2026, providing progressively easier year-over-year cost comparisons. Estimate revisions have been essentially flat-to-slightly-down since the 1Q26 print, suggesting the street is not pricing in a meaningful acceleration — which creates asymmetric upside if tool storage momentum and C&amp;I strength continued into 2Q. The stock has returned approximately +3.4% since the 1Q26 earnings date (vs. +5.6% for the S&amp;P 500 and +2.6% for XLI), trading at ~19.7x NTM P/E, a modest premium to industrials but below SNA's own peak multiples — neither stretched nor depressed. The key wildcard is the trajectory of </w:t>
      </w:r>
      <w:r>
        <w:rPr>
          <w:rFonts w:ascii="Calibri" w:hAnsi="Calibri"/>
          <w:b/>
          <w:color w:val="525866"/>
          <w:sz w:val="22"/>
        </w:rPr>
        <w:t>originations</w:t>
      </w:r>
      <w:r>
        <w:rPr>
          <w:rFonts w:ascii="Calibri" w:hAnsi="Calibri"/>
          <w:color w:val="525866"/>
          <w:sz w:val="22"/>
        </w:rPr>
        <w:t>: after declining slightly year-over-year in 1Q26, any sequential improvement or stabilization would be a meaningful positive signal for the Tools Group recovery thesis, while a further deterioration would pressure the stock despite otherwise solid execution.</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at ~$4.93 operating EPS and ~$1.219B in net sales for 2Q26. The bigger swing factor is Tools Group operating margin — which expanded 160 bps in 1Q26 — and whether that momentum carried into 2Q given tougher diagnostics comparisons flagged by management.</w:t>
      </w:r>
    </w:p>
    <w:p>
      <w:pPr>
        <w:pStyle w:val="Heading3"/>
      </w:pPr>
      <w:r>
        <w:rPr>
          <w:rFonts w:ascii="Calibri" w:hAnsi="Calibri"/>
          <w:b/>
          <w:color w:val="3B4259"/>
          <w:sz w:val="24"/>
        </w:rPr>
        <w:t>Table 1 — Current Quarter Snapshot (2Q 2026 Consensus vs. History)</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1Q 2026 Actual</w:t>
            </w:r>
          </w:p>
        </w:tc>
        <w:tc>
          <w:tcPr>
            <w:tcW w:type="dxa" w:w="1234"/>
            <w:shd w:val="clear" w:color="auto" w:fill="3B4259"/>
          </w:tcPr>
          <w:p>
            <w:r>
              <w:rPr>
                <w:rFonts w:ascii="Calibri" w:hAnsi="Calibri"/>
                <w:b/>
                <w:color w:val="FFFFFF"/>
                <w:sz w:val="22"/>
              </w:rPr>
              <w:t>2Q 2025 Actual (Prior Year)</w:t>
            </w:r>
          </w:p>
        </w:tc>
        <w:tc>
          <w:tcPr>
            <w:tcW w:type="dxa" w:w="1234"/>
            <w:shd w:val="clear" w:color="auto" w:fill="3B4259"/>
          </w:tcPr>
          <w:p>
            <w:r>
              <w:rPr>
                <w:rFonts w:ascii="Calibri" w:hAnsi="Calibri"/>
                <w:b/>
                <w:color w:val="FFFFFF"/>
                <w:sz w:val="22"/>
              </w:rPr>
              <w:t>2Q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$1,207.2M</w:t>
            </w:r>
          </w:p>
        </w:tc>
        <w:tc>
          <w:tcPr>
            <w:tcW w:type="dxa" w:w="1234"/>
          </w:tcPr>
          <w:p>
            <w:r>
              <w:rPr>
                <w:rFonts w:ascii="Calibri" w:hAnsi="Calibri"/>
                <w:sz w:val="22"/>
              </w:rPr>
              <w:t>$1,179.4M</w:t>
            </w:r>
          </w:p>
        </w:tc>
        <w:tc>
          <w:tcPr>
            <w:tcW w:type="dxa" w:w="1234"/>
          </w:tcPr>
          <w:p>
            <w:r>
              <w:rPr>
                <w:rFonts w:ascii="Calibri" w:hAnsi="Calibri"/>
                <w:sz w:val="22"/>
              </w:rPr>
              <w:t>$1,218.9M</w:t>
            </w:r>
          </w:p>
        </w:tc>
        <w:tc>
          <w:tcPr>
            <w:tcW w:type="dxa" w:w="1234"/>
          </w:tcPr>
          <w:p>
            <w:r>
              <w:rPr>
                <w:rFonts w:ascii="Calibri" w:hAnsi="Calibri"/>
                <w:sz w:val="22"/>
              </w:rPr>
              <w:t>+3.4%</w:t>
            </w:r>
          </w:p>
        </w:tc>
        <w:tc>
          <w:tcPr>
            <w:tcW w:type="dxa" w:w="1234"/>
          </w:tcPr>
          <w:p>
            <w:r>
              <w:rPr>
                <w:rFonts w:ascii="Calibri" w:hAnsi="Calibri"/>
                <w:sz w:val="22"/>
              </w:rPr>
              <w:t>No specific quarterly guidance</w:t>
            </w:r>
          </w:p>
        </w:tc>
        <w:tc>
          <w:tcPr>
            <w:tcW w:type="dxa" w:w="1234"/>
          </w:tcPr>
          <w:p>
            <w:r>
              <w:rPr>
                <w:rFonts w:ascii="Calibri" w:hAnsi="Calibri"/>
                <w:sz w:val="22"/>
              </w:rPr>
              <w:t>N/A</w:t>
            </w:r>
          </w:p>
        </w:tc>
      </w:tr>
      <w:tr>
        <w:tc>
          <w:tcPr>
            <w:tcW w:type="dxa" w:w="1234"/>
          </w:tcPr>
          <w:p>
            <w:r>
              <w:rPr>
                <w:rFonts w:ascii="Calibri" w:hAnsi="Calibri"/>
                <w:sz w:val="22"/>
              </w:rPr>
              <w:t>Operating EPS (Diluted)</w:t>
            </w:r>
          </w:p>
        </w:tc>
        <w:tc>
          <w:tcPr>
            <w:tcW w:type="dxa" w:w="1234"/>
          </w:tcPr>
          <w:p>
            <w:r>
              <w:rPr>
                <w:rFonts w:ascii="Calibri" w:hAnsi="Calibri"/>
                <w:sz w:val="22"/>
              </w:rPr>
              <w:t>$4.69</w:t>
            </w:r>
          </w:p>
        </w:tc>
        <w:tc>
          <w:tcPr>
            <w:tcW w:type="dxa" w:w="1234"/>
          </w:tcPr>
          <w:p>
            <w:r>
              <w:rPr>
                <w:rFonts w:ascii="Calibri" w:hAnsi="Calibri"/>
                <w:sz w:val="22"/>
              </w:rPr>
              <w:t>$4.72</w:t>
            </w:r>
          </w:p>
        </w:tc>
        <w:tc>
          <w:tcPr>
            <w:tcW w:type="dxa" w:w="1234"/>
          </w:tcPr>
          <w:p>
            <w:r>
              <w:rPr>
                <w:rFonts w:ascii="Calibri" w:hAnsi="Calibri"/>
                <w:sz w:val="22"/>
              </w:rPr>
              <w:t>$4.93</w:t>
            </w:r>
          </w:p>
        </w:tc>
        <w:tc>
          <w:tcPr>
            <w:tcW w:type="dxa" w:w="1234"/>
          </w:tcPr>
          <w:p>
            <w:r>
              <w:rPr>
                <w:rFonts w:ascii="Calibri" w:hAnsi="Calibri"/>
                <w:sz w:val="22"/>
              </w:rPr>
              <w:t>+4.4%</w:t>
            </w:r>
          </w:p>
        </w:tc>
        <w:tc>
          <w:tcPr>
            <w:tcW w:type="dxa" w:w="1234"/>
          </w:tcPr>
          <w:p>
            <w:r>
              <w:rPr>
                <w:rFonts w:ascii="Calibri" w:hAnsi="Calibri"/>
                <w:sz w:val="22"/>
              </w:rPr>
              <w:t>No specific quarterly guidance; FY tax rate 22–23%</w:t>
            </w:r>
          </w:p>
        </w:tc>
        <w:tc>
          <w:tcPr>
            <w:tcW w:type="dxa" w:w="1234"/>
          </w:tcPr>
          <w:p>
            <w:r>
              <w:rPr>
                <w:rFonts w:ascii="Calibri" w:hAnsi="Calibri"/>
                <w:sz w:val="22"/>
              </w:rPr>
              <w:t>N/A</w:t>
            </w:r>
          </w:p>
        </w:tc>
      </w:tr>
      <w:tr>
        <w:tc>
          <w:tcPr>
            <w:tcW w:type="dxa" w:w="1234"/>
          </w:tcPr>
          <w:p>
            <w:r>
              <w:rPr>
                <w:rFonts w:ascii="Calibri" w:hAnsi="Calibri"/>
                <w:sz w:val="22"/>
              </w:rPr>
              <w:t>Gross Margin (%)</w:t>
            </w:r>
          </w:p>
        </w:tc>
        <w:tc>
          <w:tcPr>
            <w:tcW w:type="dxa" w:w="1234"/>
          </w:tcPr>
          <w:p>
            <w:r>
              <w:rPr>
                <w:rFonts w:ascii="Calibri" w:hAnsi="Calibri"/>
                <w:sz w:val="22"/>
              </w:rPr>
              <w:t>54.2%</w:t>
            </w:r>
          </w:p>
        </w:tc>
        <w:tc>
          <w:tcPr>
            <w:tcW w:type="dxa" w:w="1234"/>
          </w:tcPr>
          <w:p>
            <w:r>
              <w:rPr>
                <w:rFonts w:ascii="Calibri" w:hAnsi="Calibri"/>
                <w:sz w:val="22"/>
              </w:rPr>
              <w:t>54.5%</w:t>
            </w:r>
          </w:p>
        </w:tc>
        <w:tc>
          <w:tcPr>
            <w:tcW w:type="dxa" w:w="1234"/>
          </w:tcPr>
          <w:p>
            <w:r>
              <w:rPr>
                <w:rFonts w:ascii="Calibri" w:hAnsi="Calibri"/>
                <w:sz w:val="22"/>
              </w:rPr>
              <w:t>54.6%</w:t>
            </w:r>
          </w:p>
        </w:tc>
        <w:tc>
          <w:tcPr>
            <w:tcW w:type="dxa" w:w="1234"/>
          </w:tcPr>
          <w:p>
            <w:r>
              <w:rPr>
                <w:rFonts w:ascii="Calibri" w:hAnsi="Calibri"/>
                <w:sz w:val="22"/>
              </w:rPr>
              <w:t>+10 bps</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Tools Group Op. Margin (%)</w:t>
            </w:r>
          </w:p>
        </w:tc>
        <w:tc>
          <w:tcPr>
            <w:tcW w:type="dxa" w:w="1234"/>
          </w:tcPr>
          <w:p>
            <w:r>
              <w:rPr>
                <w:rFonts w:ascii="Calibri" w:hAnsi="Calibri"/>
                <w:sz w:val="22"/>
              </w:rPr>
              <w:t>21.6% (+160 bps YoY)</w:t>
            </w:r>
          </w:p>
        </w:tc>
        <w:tc>
          <w:tcPr>
            <w:tcW w:type="dxa" w:w="1234"/>
          </w:tcPr>
          <w:p>
            <w:r>
              <w:rPr>
                <w:rFonts w:ascii="Calibri" w:hAnsi="Calibri"/>
                <w:sz w:val="22"/>
              </w:rPr>
              <w:t>38.3%*</w:t>
            </w:r>
          </w:p>
        </w:tc>
        <w:tc>
          <w:tcPr>
            <w:tcW w:type="dxa" w:w="1234"/>
          </w:tcPr>
          <w:p>
            <w:r>
              <w:rPr>
                <w:rFonts w:ascii="Calibri" w:hAnsi="Calibri"/>
                <w:sz w:val="22"/>
              </w:rPr>
              <w:t>37.9%</w:t>
            </w:r>
          </w:p>
        </w:tc>
        <w:tc>
          <w:tcPr>
            <w:tcW w:type="dxa" w:w="1234"/>
          </w:tcPr>
          <w:p>
            <w:r>
              <w:rPr>
                <w:rFonts w:ascii="Calibri" w:hAnsi="Calibri"/>
                <w:sz w:val="22"/>
              </w:rPr>
              <w:t>-40 bps</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RS&amp;I Op. Margin (%)</w:t>
            </w:r>
          </w:p>
        </w:tc>
        <w:tc>
          <w:tcPr>
            <w:tcW w:type="dxa" w:w="1234"/>
          </w:tcPr>
          <w:p>
            <w:r>
              <w:rPr>
                <w:rFonts w:ascii="Calibri" w:hAnsi="Calibri"/>
                <w:sz w:val="22"/>
              </w:rPr>
              <w:t>24.6% (-110 bps YoY)</w:t>
            </w:r>
          </w:p>
        </w:tc>
        <w:tc>
          <w:tcPr>
            <w:tcW w:type="dxa" w:w="1234"/>
          </w:tcPr>
          <w:p>
            <w:r>
              <w:rPr>
                <w:rFonts w:ascii="Calibri" w:hAnsi="Calibri"/>
                <w:sz w:val="22"/>
              </w:rPr>
              <w:t>36.6%*</w:t>
            </w:r>
          </w:p>
        </w:tc>
        <w:tc>
          <w:tcPr>
            <w:tcW w:type="dxa" w:w="1234"/>
          </w:tcPr>
          <w:p>
            <w:r>
              <w:rPr>
                <w:rFonts w:ascii="Calibri" w:hAnsi="Calibri"/>
                <w:sz w:val="22"/>
              </w:rPr>
              <w:t>36.6%</w:t>
            </w:r>
          </w:p>
        </w:tc>
        <w:tc>
          <w:tcPr>
            <w:tcW w:type="dxa" w:w="1234"/>
          </w:tcPr>
          <w:p>
            <w:r>
              <w:rPr>
                <w:rFonts w:ascii="Calibri" w:hAnsi="Calibri"/>
                <w:sz w:val="22"/>
              </w:rPr>
              <w:t>Flat</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C&amp;I Net Sales ($M)</w:t>
            </w:r>
          </w:p>
        </w:tc>
        <w:tc>
          <w:tcPr>
            <w:tcW w:type="dxa" w:w="1234"/>
          </w:tcPr>
          <w:p>
            <w:r>
              <w:rPr>
                <w:rFonts w:ascii="Calibri" w:hAnsi="Calibri"/>
                <w:sz w:val="22"/>
              </w:rPr>
              <w:t>$381.6M (+10.8% YoY)</w:t>
            </w:r>
          </w:p>
        </w:tc>
        <w:tc>
          <w:tcPr>
            <w:tcW w:type="dxa" w:w="1234"/>
          </w:tcPr>
          <w:p>
            <w:r>
              <w:rPr>
                <w:rFonts w:ascii="Calibri" w:hAnsi="Calibri"/>
                <w:sz w:val="22"/>
              </w:rPr>
              <w:t>$347.8M</w:t>
            </w:r>
          </w:p>
        </w:tc>
        <w:tc>
          <w:tcPr>
            <w:tcW w:type="dxa" w:w="1234"/>
          </w:tcPr>
          <w:p>
            <w:r>
              <w:rPr>
                <w:rFonts w:ascii="Calibri" w:hAnsi="Calibri"/>
                <w:sz w:val="22"/>
              </w:rPr>
              <w:t>$370.3M</w:t>
            </w:r>
          </w:p>
        </w:tc>
        <w:tc>
          <w:tcPr>
            <w:tcW w:type="dxa" w:w="1234"/>
          </w:tcPr>
          <w:p>
            <w:r>
              <w:rPr>
                <w:rFonts w:ascii="Calibri" w:hAnsi="Calibri"/>
                <w:sz w:val="22"/>
              </w:rPr>
              <w:t>+6.5%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RS&amp;I Net Sales ($M)</w:t>
            </w:r>
          </w:p>
        </w:tc>
        <w:tc>
          <w:tcPr>
            <w:tcW w:type="dxa" w:w="1234"/>
          </w:tcPr>
          <w:p>
            <w:r>
              <w:rPr>
                <w:rFonts w:ascii="Calibri" w:hAnsi="Calibri"/>
                <w:sz w:val="22"/>
              </w:rPr>
              <w:t>$485.3M (+2.0% YoY)</w:t>
            </w:r>
          </w:p>
        </w:tc>
        <w:tc>
          <w:tcPr>
            <w:tcW w:type="dxa" w:w="1234"/>
          </w:tcPr>
          <w:p>
            <w:r>
              <w:rPr>
                <w:rFonts w:ascii="Calibri" w:hAnsi="Calibri"/>
                <w:sz w:val="22"/>
              </w:rPr>
              <w:t>$468.6M</w:t>
            </w:r>
          </w:p>
        </w:tc>
        <w:tc>
          <w:tcPr>
            <w:tcW w:type="dxa" w:w="1234"/>
          </w:tcPr>
          <w:p>
            <w:r>
              <w:rPr>
                <w:rFonts w:ascii="Calibri" w:hAnsi="Calibri"/>
                <w:sz w:val="22"/>
              </w:rPr>
              <w:t>$484.0M</w:t>
            </w:r>
          </w:p>
        </w:tc>
        <w:tc>
          <w:tcPr>
            <w:tcW w:type="dxa" w:w="1234"/>
          </w:tcPr>
          <w:p>
            <w:r>
              <w:rPr>
                <w:rFonts w:ascii="Calibri" w:hAnsi="Calibri"/>
                <w:sz w:val="22"/>
              </w:rPr>
              <w:t>+3.3%</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Tools Group Net Sales ($M)</w:t>
            </w:r>
          </w:p>
        </w:tc>
        <w:tc>
          <w:tcPr>
            <w:tcW w:type="dxa" w:w="1234"/>
          </w:tcPr>
          <w:p>
            <w:r>
              <w:rPr>
                <w:rFonts w:ascii="Calibri" w:hAnsi="Calibri"/>
                <w:sz w:val="22"/>
              </w:rPr>
              <w:t>$486.0M (+3.4% organic)</w:t>
            </w:r>
          </w:p>
        </w:tc>
        <w:tc>
          <w:tcPr>
            <w:tcW w:type="dxa" w:w="1234"/>
          </w:tcPr>
          <w:p>
            <w:r>
              <w:rPr>
                <w:rFonts w:ascii="Calibri" w:hAnsi="Calibri"/>
                <w:sz w:val="22"/>
              </w:rPr>
              <w:t>$491.0M</w:t>
            </w:r>
          </w:p>
        </w:tc>
        <w:tc>
          <w:tcPr>
            <w:tcW w:type="dxa" w:w="1234"/>
          </w:tcPr>
          <w:p>
            <w:r>
              <w:rPr>
                <w:rFonts w:ascii="Calibri" w:hAnsi="Calibri"/>
                <w:sz w:val="22"/>
              </w:rPr>
              <w:t>$501.0M</w:t>
            </w:r>
          </w:p>
        </w:tc>
        <w:tc>
          <w:tcPr>
            <w:tcW w:type="dxa" w:w="1234"/>
          </w:tcPr>
          <w:p>
            <w:r>
              <w:rPr>
                <w:rFonts w:ascii="Calibri" w:hAnsi="Calibri"/>
                <w:sz w:val="22"/>
              </w:rPr>
              <w:t>+2.0%</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color w:val="525866"/>
          <w:sz w:val="22"/>
        </w:rPr>
        <w:t>* Note: Tools Group and RS&amp;I operating margins shown in the VA data use a segment-level definition that differs from the consolidated OpCo margin reported in the earnings release. The 1Q26 actual Tools Group OpCo margin of 21.6% and RS&amp;I margin of 24.6% are as reported on the earnings call. The VA consensus figures for 2Q26 (37.9% Tools Group, 36.6% RS&amp;I) reflect the segment-level margin definition used in the VA model. All consensus figures sourced from Visible Alpha.</w:t>
      </w:r>
    </w:p>
    <w:p>
      <w:pPr>
        <w:pStyle w:val="Heading3"/>
      </w:pPr>
      <w:r>
        <w:rPr>
          <w:rFonts w:ascii="Calibri" w:hAnsi="Calibri"/>
          <w:b/>
          <w:color w:val="3B4259"/>
          <w:sz w:val="24"/>
        </w:rPr>
        <w:t>Table 2 — Beat/Miss History: Operating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$4.69</w:t>
            </w:r>
          </w:p>
        </w:tc>
        <w:tc>
          <w:tcPr>
            <w:tcW w:type="dxa" w:w="1728"/>
          </w:tcPr>
          <w:p>
            <w:r>
              <w:rPr>
                <w:rFonts w:ascii="Calibri" w:hAnsi="Calibri"/>
                <w:sz w:val="22"/>
              </w:rPr>
              <w:t>$4.71</w:t>
            </w:r>
          </w:p>
        </w:tc>
        <w:tc>
          <w:tcPr>
            <w:tcW w:type="dxa" w:w="1728"/>
          </w:tcPr>
          <w:p>
            <w:r>
              <w:rPr>
                <w:rFonts w:ascii="Calibri" w:hAnsi="Calibri"/>
                <w:b/>
                <w:color w:val="E5484D"/>
                <w:sz w:val="22"/>
              </w:rPr>
              <w:t>-0.4%</w:t>
            </w:r>
          </w:p>
        </w:tc>
        <w:tc>
          <w:tcPr>
            <w:tcW w:type="dxa" w:w="1728"/>
          </w:tcPr>
          <w:p>
            <w:r>
              <w:rPr>
                <w:rFonts w:ascii="Calibri" w:hAnsi="Calibri"/>
                <w:sz w:val="22"/>
              </w:rPr>
              <w:t>Slight Miss</w:t>
            </w:r>
          </w:p>
        </w:tc>
      </w:tr>
      <w:tr>
        <w:tc>
          <w:tcPr>
            <w:tcW w:type="dxa" w:w="1728"/>
          </w:tcPr>
          <w:p>
            <w:r>
              <w:rPr>
                <w:rFonts w:ascii="Calibri" w:hAnsi="Calibri"/>
                <w:sz w:val="22"/>
              </w:rPr>
              <w:t>4Q 2025</w:t>
            </w:r>
          </w:p>
        </w:tc>
        <w:tc>
          <w:tcPr>
            <w:tcW w:type="dxa" w:w="1728"/>
          </w:tcPr>
          <w:p>
            <w:r>
              <w:rPr>
                <w:rFonts w:ascii="Calibri" w:hAnsi="Calibri"/>
                <w:sz w:val="22"/>
              </w:rPr>
              <w:t>$4.94</w:t>
            </w:r>
          </w:p>
        </w:tc>
        <w:tc>
          <w:tcPr>
            <w:tcW w:type="dxa" w:w="1728"/>
          </w:tcPr>
          <w:p>
            <w:r>
              <w:rPr>
                <w:rFonts w:ascii="Calibri" w:hAnsi="Calibri"/>
                <w:sz w:val="22"/>
              </w:rPr>
              <w:t>$4.88</w:t>
            </w:r>
          </w:p>
        </w:tc>
        <w:tc>
          <w:tcPr>
            <w:tcW w:type="dxa" w:w="1728"/>
          </w:tcPr>
          <w:p>
            <w:r>
              <w:rPr>
                <w:rFonts w:ascii="Calibri" w:hAnsi="Calibri"/>
                <w:b/>
                <w:color w:val="30A46C"/>
                <w:sz w:val="22"/>
              </w:rPr>
              <w:t>+1.2%</w:t>
            </w:r>
          </w:p>
        </w:tc>
        <w:tc>
          <w:tcPr>
            <w:tcW w:type="dxa" w:w="1728"/>
          </w:tcPr>
          <w:p>
            <w:r>
              <w:rPr>
                <w:rFonts w:ascii="Calibri" w:hAnsi="Calibri"/>
                <w:sz w:val="22"/>
              </w:rPr>
              <w:t>Beat</w:t>
            </w:r>
          </w:p>
        </w:tc>
      </w:tr>
      <w:tr>
        <w:tc>
          <w:tcPr>
            <w:tcW w:type="dxa" w:w="1728"/>
          </w:tcPr>
          <w:p>
            <w:r>
              <w:rPr>
                <w:rFonts w:ascii="Calibri" w:hAnsi="Calibri"/>
                <w:sz w:val="22"/>
              </w:rPr>
              <w:t>3Q 2025</w:t>
            </w:r>
          </w:p>
        </w:tc>
        <w:tc>
          <w:tcPr>
            <w:tcW w:type="dxa" w:w="1728"/>
          </w:tcPr>
          <w:p>
            <w:r>
              <w:rPr>
                <w:rFonts w:ascii="Calibri" w:hAnsi="Calibri"/>
                <w:sz w:val="22"/>
              </w:rPr>
              <w:t>$5.02</w:t>
            </w:r>
          </w:p>
        </w:tc>
        <w:tc>
          <w:tcPr>
            <w:tcW w:type="dxa" w:w="1728"/>
          </w:tcPr>
          <w:p>
            <w:r>
              <w:rPr>
                <w:rFonts w:ascii="Calibri" w:hAnsi="Calibri"/>
                <w:sz w:val="22"/>
              </w:rPr>
              <w:t>$4.61</w:t>
            </w:r>
          </w:p>
        </w:tc>
        <w:tc>
          <w:tcPr>
            <w:tcW w:type="dxa" w:w="1728"/>
          </w:tcPr>
          <w:p>
            <w:r>
              <w:rPr>
                <w:rFonts w:ascii="Calibri" w:hAnsi="Calibri"/>
                <w:b/>
                <w:color w:val="30A46C"/>
                <w:sz w:val="22"/>
              </w:rPr>
              <w:t>+8.9%</w:t>
            </w:r>
          </w:p>
        </w:tc>
        <w:tc>
          <w:tcPr>
            <w:tcW w:type="dxa" w:w="1728"/>
          </w:tcPr>
          <w:p>
            <w:r>
              <w:rPr>
                <w:rFonts w:ascii="Calibri" w:hAnsi="Calibri"/>
                <w:sz w:val="22"/>
              </w:rPr>
              <w:t>Beat</w:t>
            </w:r>
          </w:p>
        </w:tc>
      </w:tr>
      <w:tr>
        <w:tc>
          <w:tcPr>
            <w:tcW w:type="dxa" w:w="1728"/>
          </w:tcPr>
          <w:p>
            <w:r>
              <w:rPr>
                <w:rFonts w:ascii="Calibri" w:hAnsi="Calibri"/>
                <w:sz w:val="22"/>
              </w:rPr>
              <w:t>2Q 2025</w:t>
            </w:r>
          </w:p>
        </w:tc>
        <w:tc>
          <w:tcPr>
            <w:tcW w:type="dxa" w:w="1728"/>
          </w:tcPr>
          <w:p>
            <w:r>
              <w:rPr>
                <w:rFonts w:ascii="Calibri" w:hAnsi="Calibri"/>
                <w:sz w:val="22"/>
              </w:rPr>
              <w:t>$4.72</w:t>
            </w:r>
          </w:p>
        </w:tc>
        <w:tc>
          <w:tcPr>
            <w:tcW w:type="dxa" w:w="1728"/>
          </w:tcPr>
          <w:p>
            <w:r>
              <w:rPr>
                <w:rFonts w:ascii="Calibri" w:hAnsi="Calibri"/>
                <w:sz w:val="22"/>
              </w:rPr>
              <w:t>$4.65</w:t>
            </w:r>
          </w:p>
        </w:tc>
        <w:tc>
          <w:tcPr>
            <w:tcW w:type="dxa" w:w="1728"/>
          </w:tcPr>
          <w:p>
            <w:r>
              <w:rPr>
                <w:rFonts w:ascii="Calibri" w:hAnsi="Calibri"/>
                <w:b/>
                <w:color w:val="30A46C"/>
                <w:sz w:val="22"/>
              </w:rPr>
              <w:t>+1.5%</w:t>
            </w:r>
          </w:p>
        </w:tc>
        <w:tc>
          <w:tcPr>
            <w:tcW w:type="dxa" w:w="1728"/>
          </w:tcPr>
          <w:p>
            <w:r>
              <w:rPr>
                <w:rFonts w:ascii="Calibri" w:hAnsi="Calibri"/>
                <w:sz w:val="22"/>
              </w:rPr>
              <w:t>Beat</w:t>
            </w:r>
          </w:p>
        </w:tc>
      </w:tr>
      <w:tr>
        <w:tc>
          <w:tcPr>
            <w:tcW w:type="dxa" w:w="1728"/>
          </w:tcPr>
          <w:p>
            <w:r>
              <w:rPr>
                <w:rFonts w:ascii="Calibri" w:hAnsi="Calibri"/>
                <w:sz w:val="22"/>
              </w:rPr>
              <w:t>1Q 2025</w:t>
            </w:r>
          </w:p>
        </w:tc>
        <w:tc>
          <w:tcPr>
            <w:tcW w:type="dxa" w:w="1728"/>
          </w:tcPr>
          <w:p>
            <w:r>
              <w:rPr>
                <w:rFonts w:ascii="Calibri" w:hAnsi="Calibri"/>
                <w:sz w:val="22"/>
              </w:rPr>
              <w:t>$4.51</w:t>
            </w:r>
          </w:p>
        </w:tc>
        <w:tc>
          <w:tcPr>
            <w:tcW w:type="dxa" w:w="1728"/>
          </w:tcPr>
          <w:p>
            <w:r>
              <w:rPr>
                <w:rFonts w:ascii="Calibri" w:hAnsi="Calibri"/>
                <w:sz w:val="22"/>
              </w:rPr>
              <w:t>$4.82</w:t>
            </w:r>
          </w:p>
        </w:tc>
        <w:tc>
          <w:tcPr>
            <w:tcW w:type="dxa" w:w="1728"/>
          </w:tcPr>
          <w:p>
            <w:r>
              <w:rPr>
                <w:rFonts w:ascii="Calibri" w:hAnsi="Calibri"/>
                <w:b/>
                <w:color w:val="E5484D"/>
                <w:sz w:val="22"/>
              </w:rPr>
              <w:t>-6.4%</w:t>
            </w:r>
          </w:p>
        </w:tc>
        <w:tc>
          <w:tcPr>
            <w:tcW w:type="dxa" w:w="1728"/>
          </w:tcPr>
          <w:p>
            <w:r>
              <w:rPr>
                <w:rFonts w:ascii="Calibri" w:hAnsi="Calibri"/>
                <w:sz w:val="22"/>
              </w:rPr>
              <w:t>Miss</w:t>
            </w:r>
          </w:p>
        </w:tc>
      </w:tr>
      <w:tr>
        <w:tc>
          <w:tcPr>
            <w:tcW w:type="dxa" w:w="1728"/>
          </w:tcPr>
          <w:p>
            <w:r>
              <w:rPr>
                <w:rFonts w:ascii="Calibri" w:hAnsi="Calibri"/>
                <w:sz w:val="22"/>
              </w:rPr>
              <w:t>4Q 2024</w:t>
            </w:r>
          </w:p>
        </w:tc>
        <w:tc>
          <w:tcPr>
            <w:tcW w:type="dxa" w:w="1728"/>
          </w:tcPr>
          <w:p>
            <w:r>
              <w:rPr>
                <w:rFonts w:ascii="Calibri" w:hAnsi="Calibri"/>
                <w:sz w:val="22"/>
              </w:rPr>
              <w:t>$4.82</w:t>
            </w:r>
          </w:p>
        </w:tc>
        <w:tc>
          <w:tcPr>
            <w:tcW w:type="dxa" w:w="1728"/>
          </w:tcPr>
          <w:p>
            <w:r>
              <w:rPr>
                <w:rFonts w:ascii="Calibri" w:hAnsi="Calibri"/>
                <w:sz w:val="22"/>
              </w:rPr>
              <w:t>$4.76</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3Q 2024</w:t>
            </w:r>
          </w:p>
        </w:tc>
        <w:tc>
          <w:tcPr>
            <w:tcW w:type="dxa" w:w="1728"/>
          </w:tcPr>
          <w:p>
            <w:r>
              <w:rPr>
                <w:rFonts w:ascii="Calibri" w:hAnsi="Calibri"/>
                <w:sz w:val="22"/>
              </w:rPr>
              <w:t>$4.70</w:t>
            </w:r>
          </w:p>
        </w:tc>
        <w:tc>
          <w:tcPr>
            <w:tcW w:type="dxa" w:w="1728"/>
          </w:tcPr>
          <w:p>
            <w:r>
              <w:rPr>
                <w:rFonts w:ascii="Calibri" w:hAnsi="Calibri"/>
                <w:sz w:val="22"/>
              </w:rPr>
              <w:t>$4.58</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2Q 2024</w:t>
            </w:r>
          </w:p>
        </w:tc>
        <w:tc>
          <w:tcPr>
            <w:tcW w:type="dxa" w:w="1728"/>
          </w:tcPr>
          <w:p>
            <w:r>
              <w:rPr>
                <w:rFonts w:ascii="Calibri" w:hAnsi="Calibri"/>
                <w:sz w:val="22"/>
              </w:rPr>
              <w:t>$5.07</w:t>
            </w:r>
          </w:p>
        </w:tc>
        <w:tc>
          <w:tcPr>
            <w:tcW w:type="dxa" w:w="1728"/>
          </w:tcPr>
          <w:p>
            <w:r>
              <w:rPr>
                <w:rFonts w:ascii="Calibri" w:hAnsi="Calibri"/>
                <w:sz w:val="22"/>
              </w:rPr>
              <w:t>$4.96</w:t>
            </w:r>
          </w:p>
        </w:tc>
        <w:tc>
          <w:tcPr>
            <w:tcW w:type="dxa" w:w="1728"/>
          </w:tcPr>
          <w:p>
            <w:r>
              <w:rPr>
                <w:rFonts w:ascii="Calibri" w:hAnsi="Calibri"/>
                <w:b/>
                <w:color w:val="30A46C"/>
                <w:sz w:val="22"/>
              </w:rPr>
              <w:t>+2.2%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SNA has beaten operating EPS consensus in 6 of the last 8 quarters, with the two misses (1Q25 and 1Q26) both occurring in seasonally softer first quarters. The beat rate and magnitude of beats in Q2-Q4 periods is notably stronger, suggesting the 2Q26 setup is historically favorable. All EPS figures sourced from Visible Alpha.</w:t>
      </w:r>
    </w:p>
    <w:p>
      <w:pPr>
        <w:pStyle w:val="Heading3"/>
      </w:pPr>
      <w:r>
        <w:rPr>
          <w:rFonts w:ascii="Calibri" w:hAnsi="Calibri"/>
          <w:b/>
          <w:color w:val="3B4259"/>
          <w:sz w:val="24"/>
        </w:rPr>
        <w:t>Table 2B — Beat/Miss History: Net Sales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Sales ($M)</w:t>
            </w:r>
          </w:p>
        </w:tc>
        <w:tc>
          <w:tcPr>
            <w:tcW w:type="dxa" w:w="1728"/>
            <w:shd w:val="clear" w:color="auto" w:fill="3B4259"/>
          </w:tcPr>
          <w:p>
            <w:r>
              <w:rPr>
                <w:rFonts w:ascii="Calibri" w:hAnsi="Calibri"/>
                <w:b/>
                <w:color w:val="FFFFFF"/>
                <w:sz w:val="22"/>
              </w:rPr>
              <w:t>Consensus Est.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1Q 2026</w:t>
            </w:r>
          </w:p>
        </w:tc>
        <w:tc>
          <w:tcPr>
            <w:tcW w:type="dxa" w:w="1728"/>
          </w:tcPr>
          <w:p>
            <w:r>
              <w:rPr>
                <w:rFonts w:ascii="Calibri" w:hAnsi="Calibri"/>
                <w:sz w:val="22"/>
              </w:rPr>
              <w:t>$1,207.2M</w:t>
            </w:r>
          </w:p>
        </w:tc>
        <w:tc>
          <w:tcPr>
            <w:tcW w:type="dxa" w:w="1728"/>
          </w:tcPr>
          <w:p>
            <w:r>
              <w:rPr>
                <w:rFonts w:ascii="Calibri" w:hAnsi="Calibri"/>
                <w:sz w:val="22"/>
              </w:rPr>
              <w:t>$1,174.9M</w:t>
            </w:r>
          </w:p>
        </w:tc>
        <w:tc>
          <w:tcPr>
            <w:tcW w:type="dxa" w:w="1728"/>
          </w:tcPr>
          <w:p>
            <w:r>
              <w:rPr>
                <w:rFonts w:ascii="Calibri" w:hAnsi="Calibri"/>
                <w:b/>
                <w:color w:val="30A46C"/>
                <w:sz w:val="22"/>
              </w:rPr>
              <w:t>+2.7%</w:t>
            </w:r>
          </w:p>
        </w:tc>
        <w:tc>
          <w:tcPr>
            <w:tcW w:type="dxa" w:w="1728"/>
          </w:tcPr>
          <w:p>
            <w:r>
              <w:rPr>
                <w:rFonts w:ascii="Calibri" w:hAnsi="Calibri"/>
                <w:sz w:val="22"/>
              </w:rPr>
              <w:t>Beat</w:t>
            </w:r>
          </w:p>
        </w:tc>
      </w:tr>
      <w:tr>
        <w:tc>
          <w:tcPr>
            <w:tcW w:type="dxa" w:w="1728"/>
          </w:tcPr>
          <w:p>
            <w:r>
              <w:rPr>
                <w:rFonts w:ascii="Calibri" w:hAnsi="Calibri"/>
                <w:sz w:val="22"/>
              </w:rPr>
              <w:t>4Q 2025</w:t>
            </w:r>
          </w:p>
        </w:tc>
        <w:tc>
          <w:tcPr>
            <w:tcW w:type="dxa" w:w="1728"/>
          </w:tcPr>
          <w:p>
            <w:r>
              <w:rPr>
                <w:rFonts w:ascii="Calibri" w:hAnsi="Calibri"/>
                <w:sz w:val="22"/>
              </w:rPr>
              <w:t>$1,231.9M</w:t>
            </w:r>
          </w:p>
        </w:tc>
        <w:tc>
          <w:tcPr>
            <w:tcW w:type="dxa" w:w="1728"/>
          </w:tcPr>
          <w:p>
            <w:r>
              <w:rPr>
                <w:rFonts w:ascii="Calibri" w:hAnsi="Calibri"/>
                <w:sz w:val="22"/>
              </w:rPr>
              <w:t>$1,225.0M</w:t>
            </w:r>
          </w:p>
        </w:tc>
        <w:tc>
          <w:tcPr>
            <w:tcW w:type="dxa" w:w="1728"/>
          </w:tcPr>
          <w:p>
            <w:r>
              <w:rPr>
                <w:rFonts w:ascii="Calibri" w:hAnsi="Calibri"/>
                <w:b/>
                <w:color w:val="30A46C"/>
                <w:sz w:val="22"/>
              </w:rPr>
              <w:t>+0.6%</w:t>
            </w:r>
          </w:p>
        </w:tc>
        <w:tc>
          <w:tcPr>
            <w:tcW w:type="dxa" w:w="1728"/>
          </w:tcPr>
          <w:p>
            <w:r>
              <w:rPr>
                <w:rFonts w:ascii="Calibri" w:hAnsi="Calibri"/>
                <w:sz w:val="22"/>
              </w:rPr>
              <w:t>Beat</w:t>
            </w:r>
          </w:p>
        </w:tc>
      </w:tr>
      <w:tr>
        <w:tc>
          <w:tcPr>
            <w:tcW w:type="dxa" w:w="1728"/>
          </w:tcPr>
          <w:p>
            <w:r>
              <w:rPr>
                <w:rFonts w:ascii="Calibri" w:hAnsi="Calibri"/>
                <w:sz w:val="22"/>
              </w:rPr>
              <w:t>3Q 2025</w:t>
            </w:r>
          </w:p>
        </w:tc>
        <w:tc>
          <w:tcPr>
            <w:tcW w:type="dxa" w:w="1728"/>
          </w:tcPr>
          <w:p>
            <w:r>
              <w:rPr>
                <w:rFonts w:ascii="Calibri" w:hAnsi="Calibri"/>
                <w:sz w:val="22"/>
              </w:rPr>
              <w:t>$1,190.8M</w:t>
            </w:r>
          </w:p>
        </w:tc>
        <w:tc>
          <w:tcPr>
            <w:tcW w:type="dxa" w:w="1728"/>
          </w:tcPr>
          <w:p>
            <w:r>
              <w:rPr>
                <w:rFonts w:ascii="Calibri" w:hAnsi="Calibri"/>
                <w:sz w:val="22"/>
              </w:rPr>
              <w:t>$1,156.9M</w:t>
            </w:r>
          </w:p>
        </w:tc>
        <w:tc>
          <w:tcPr>
            <w:tcW w:type="dxa" w:w="1728"/>
          </w:tcPr>
          <w:p>
            <w:r>
              <w:rPr>
                <w:rFonts w:ascii="Calibri" w:hAnsi="Calibri"/>
                <w:b/>
                <w:color w:val="30A46C"/>
                <w:sz w:val="22"/>
              </w:rPr>
              <w:t>+2.9%</w:t>
            </w:r>
          </w:p>
        </w:tc>
        <w:tc>
          <w:tcPr>
            <w:tcW w:type="dxa" w:w="1728"/>
          </w:tcPr>
          <w:p>
            <w:r>
              <w:rPr>
                <w:rFonts w:ascii="Calibri" w:hAnsi="Calibri"/>
                <w:sz w:val="22"/>
              </w:rPr>
              <w:t>Beat</w:t>
            </w:r>
          </w:p>
        </w:tc>
      </w:tr>
      <w:tr>
        <w:tc>
          <w:tcPr>
            <w:tcW w:type="dxa" w:w="1728"/>
          </w:tcPr>
          <w:p>
            <w:r>
              <w:rPr>
                <w:rFonts w:ascii="Calibri" w:hAnsi="Calibri"/>
                <w:sz w:val="22"/>
              </w:rPr>
              <w:t>2Q 2025</w:t>
            </w:r>
          </w:p>
        </w:tc>
        <w:tc>
          <w:tcPr>
            <w:tcW w:type="dxa" w:w="1728"/>
          </w:tcPr>
          <w:p>
            <w:r>
              <w:rPr>
                <w:rFonts w:ascii="Calibri" w:hAnsi="Calibri"/>
                <w:sz w:val="22"/>
              </w:rPr>
              <w:t>$1,179.4M</w:t>
            </w:r>
          </w:p>
        </w:tc>
        <w:tc>
          <w:tcPr>
            <w:tcW w:type="dxa" w:w="1728"/>
          </w:tcPr>
          <w:p>
            <w:r>
              <w:rPr>
                <w:rFonts w:ascii="Calibri" w:hAnsi="Calibri"/>
                <w:sz w:val="22"/>
              </w:rPr>
              <w:t>$1,153.1M</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1Q 2025</w:t>
            </w:r>
          </w:p>
        </w:tc>
        <w:tc>
          <w:tcPr>
            <w:tcW w:type="dxa" w:w="1728"/>
          </w:tcPr>
          <w:p>
            <w:r>
              <w:rPr>
                <w:rFonts w:ascii="Calibri" w:hAnsi="Calibri"/>
                <w:sz w:val="22"/>
              </w:rPr>
              <w:t>$1,141.1M</w:t>
            </w:r>
          </w:p>
        </w:tc>
        <w:tc>
          <w:tcPr>
            <w:tcW w:type="dxa" w:w="1728"/>
          </w:tcPr>
          <w:p>
            <w:r>
              <w:rPr>
                <w:rFonts w:ascii="Calibri" w:hAnsi="Calibri"/>
                <w:sz w:val="22"/>
              </w:rPr>
              <w:t>$1,195.3M</w:t>
            </w:r>
          </w:p>
        </w:tc>
        <w:tc>
          <w:tcPr>
            <w:tcW w:type="dxa" w:w="1728"/>
          </w:tcPr>
          <w:p>
            <w:r>
              <w:rPr>
                <w:rFonts w:ascii="Calibri" w:hAnsi="Calibri"/>
                <w:b/>
                <w:color w:val="E5484D"/>
                <w:sz w:val="22"/>
              </w:rPr>
              <w:t>-4.5%</w:t>
            </w:r>
          </w:p>
        </w:tc>
        <w:tc>
          <w:tcPr>
            <w:tcW w:type="dxa" w:w="1728"/>
          </w:tcPr>
          <w:p>
            <w:r>
              <w:rPr>
                <w:rFonts w:ascii="Calibri" w:hAnsi="Calibri"/>
                <w:sz w:val="22"/>
              </w:rPr>
              <w:t>Miss</w:t>
            </w:r>
          </w:p>
        </w:tc>
      </w:tr>
      <w:tr>
        <w:tc>
          <w:tcPr>
            <w:tcW w:type="dxa" w:w="1728"/>
          </w:tcPr>
          <w:p>
            <w:r>
              <w:rPr>
                <w:rFonts w:ascii="Calibri" w:hAnsi="Calibri"/>
                <w:sz w:val="22"/>
              </w:rPr>
              <w:t>4Q 2024</w:t>
            </w:r>
          </w:p>
        </w:tc>
        <w:tc>
          <w:tcPr>
            <w:tcW w:type="dxa" w:w="1728"/>
          </w:tcPr>
          <w:p>
            <w:r>
              <w:rPr>
                <w:rFonts w:ascii="Calibri" w:hAnsi="Calibri"/>
                <w:sz w:val="22"/>
              </w:rPr>
              <w:t>$1,198.7M</w:t>
            </w:r>
          </w:p>
        </w:tc>
        <w:tc>
          <w:tcPr>
            <w:tcW w:type="dxa" w:w="1728"/>
          </w:tcPr>
          <w:p>
            <w:r>
              <w:rPr>
                <w:rFonts w:ascii="Calibri" w:hAnsi="Calibri"/>
                <w:sz w:val="22"/>
              </w:rPr>
              <w:t>$1,198.6M</w:t>
            </w:r>
          </w:p>
        </w:tc>
        <w:tc>
          <w:tcPr>
            <w:tcW w:type="dxa" w:w="1728"/>
          </w:tcPr>
          <w:p>
            <w:r>
              <w:rPr>
                <w:rFonts w:ascii="Calibri" w:hAnsi="Calibri"/>
                <w:sz w:val="22"/>
              </w:rPr>
              <w:t>Flat</w:t>
            </w:r>
          </w:p>
        </w:tc>
        <w:tc>
          <w:tcPr>
            <w:tcW w:type="dxa" w:w="1728"/>
          </w:tcPr>
          <w:p>
            <w:r>
              <w:rPr>
                <w:rFonts w:ascii="Calibri" w:hAnsi="Calibri"/>
                <w:sz w:val="22"/>
              </w:rPr>
              <w:t>In-Line</w:t>
            </w:r>
          </w:p>
        </w:tc>
      </w:tr>
      <w:tr>
        <w:tc>
          <w:tcPr>
            <w:tcW w:type="dxa" w:w="1728"/>
          </w:tcPr>
          <w:p>
            <w:r>
              <w:rPr>
                <w:rFonts w:ascii="Calibri" w:hAnsi="Calibri"/>
                <w:sz w:val="22"/>
              </w:rPr>
              <w:t>3Q 2024</w:t>
            </w:r>
          </w:p>
        </w:tc>
        <w:tc>
          <w:tcPr>
            <w:tcW w:type="dxa" w:w="1728"/>
          </w:tcPr>
          <w:p>
            <w:r>
              <w:rPr>
                <w:rFonts w:ascii="Calibri" w:hAnsi="Calibri"/>
                <w:sz w:val="22"/>
              </w:rPr>
              <w:t>$1,147.0M</w:t>
            </w:r>
          </w:p>
        </w:tc>
        <w:tc>
          <w:tcPr>
            <w:tcW w:type="dxa" w:w="1728"/>
          </w:tcPr>
          <w:p>
            <w:r>
              <w:rPr>
                <w:rFonts w:ascii="Calibri" w:hAnsi="Calibri"/>
                <w:sz w:val="22"/>
              </w:rPr>
              <w:t>$1,157.5M</w:t>
            </w:r>
          </w:p>
        </w:tc>
        <w:tc>
          <w:tcPr>
            <w:tcW w:type="dxa" w:w="1728"/>
          </w:tcPr>
          <w:p>
            <w:r>
              <w:rPr>
                <w:rFonts w:ascii="Calibri" w:hAnsi="Calibri"/>
                <w:b/>
                <w:color w:val="E5484D"/>
                <w:sz w:val="22"/>
              </w:rPr>
              <w:t>-0.9%</w:t>
            </w:r>
          </w:p>
        </w:tc>
        <w:tc>
          <w:tcPr>
            <w:tcW w:type="dxa" w:w="1728"/>
          </w:tcPr>
          <w:p>
            <w:r>
              <w:rPr>
                <w:rFonts w:ascii="Calibri" w:hAnsi="Calibri"/>
                <w:sz w:val="22"/>
              </w:rPr>
              <w:t>Miss</w:t>
            </w:r>
          </w:p>
        </w:tc>
      </w:tr>
      <w:tr>
        <w:tc>
          <w:tcPr>
            <w:tcW w:type="dxa" w:w="1728"/>
          </w:tcPr>
          <w:p>
            <w:r>
              <w:rPr>
                <w:rFonts w:ascii="Calibri" w:hAnsi="Calibri"/>
                <w:sz w:val="22"/>
              </w:rPr>
              <w:t>2Q 2024</w:t>
            </w:r>
          </w:p>
        </w:tc>
        <w:tc>
          <w:tcPr>
            <w:tcW w:type="dxa" w:w="1728"/>
          </w:tcPr>
          <w:p>
            <w:r>
              <w:rPr>
                <w:rFonts w:ascii="Calibri" w:hAnsi="Calibri"/>
                <w:sz w:val="22"/>
              </w:rPr>
              <w:t>$1,179.4M</w:t>
            </w:r>
          </w:p>
        </w:tc>
        <w:tc>
          <w:tcPr>
            <w:tcW w:type="dxa" w:w="1728"/>
          </w:tcPr>
          <w:p>
            <w:r>
              <w:rPr>
                <w:rFonts w:ascii="Calibri" w:hAnsi="Calibri"/>
                <w:sz w:val="22"/>
              </w:rPr>
              <w:t>$1,199.3M</w:t>
            </w:r>
          </w:p>
        </w:tc>
        <w:tc>
          <w:tcPr>
            <w:tcW w:type="dxa" w:w="1728"/>
          </w:tcPr>
          <w:p>
            <w:r>
              <w:rPr>
                <w:rFonts w:ascii="Calibri" w:hAnsi="Calibri"/>
                <w:b/>
                <w:color w:val="E5484D"/>
                <w:sz w:val="22"/>
              </w:rPr>
              <w:t>-1.7%</w:t>
            </w:r>
          </w:p>
        </w:tc>
        <w:tc>
          <w:tcPr>
            <w:tcW w:type="dxa" w:w="1728"/>
          </w:tcPr>
          <w:p>
            <w:r>
              <w:rPr>
                <w:rFonts w:ascii="Calibri" w:hAnsi="Calibri"/>
                <w:sz w:val="22"/>
              </w:rPr>
              <w:t>Miss</w:t>
            </w:r>
          </w:p>
        </w:tc>
      </w:tr>
    </w:tbl>
    <w:p>
      <w:r>
        <w:rPr>
          <w:rFonts w:ascii="Calibri" w:hAnsi="Calibri"/>
          <w:color w:val="525866"/>
          <w:sz w:val="22"/>
        </w:rPr>
        <w:t>Revenue beat/miss pattern is more mixed than EPS, with SNA beating in 5 of the last 8 quarters on the top line. The 1Q26 revenue beat of +2.7% was the strongest in recent history, driven by C&amp;I strength and record first-quarter sales. All figures sourced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1Q26 earnings call on April 23, 2026. Management's tone has incrementally improved since then — at the May 6 Oppenheimer conference, CEO Pinchuk described C&amp;I critical industries at their highest level in nearly two years and expressed optimism about the Apollo diagnostic launch — but no quantitative guidance changes have been made.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(1Q26 Earnings Call,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Corporate Costs (per quarter)</w:t>
            </w:r>
          </w:p>
        </w:tc>
        <w:tc>
          <w:tcPr>
            <w:tcW w:type="dxa" w:w="1728"/>
          </w:tcPr>
          <w:p>
            <w:r>
              <w:rPr>
                <w:rFonts w:ascii="Calibri" w:hAnsi="Calibri"/>
                <w:sz w:val="22"/>
              </w:rPr>
              <w:t>~$28M per quarter</w:t>
            </w:r>
          </w:p>
        </w:tc>
        <w:tc>
          <w:tcPr>
            <w:tcW w:type="dxa" w:w="1728"/>
          </w:tcPr>
          <w:p>
            <w:r>
              <w:rPr>
                <w:rFonts w:ascii="Calibri" w:hAnsi="Calibri"/>
                <w:sz w:val="22"/>
              </w:rPr>
              <w:t>—</w:t>
            </w:r>
          </w:p>
        </w:tc>
        <w:tc>
          <w:tcPr>
            <w:tcW w:type="dxa" w:w="1728"/>
          </w:tcPr>
          <w:p>
            <w:r>
              <w:rPr>
                <w:rFonts w:ascii="Calibri" w:hAnsi="Calibri"/>
                <w:sz w:val="22"/>
              </w:rPr>
              <w:t>~$28M</w:t>
            </w:r>
          </w:p>
        </w:tc>
        <w:tc>
          <w:tcPr>
            <w:tcW w:type="dxa" w:w="1728"/>
          </w:tcPr>
          <w:p>
            <w:r>
              <w:rPr>
                <w:rFonts w:ascii="Calibri" w:hAnsi="Calibri"/>
                <w:sz w:val="22"/>
              </w:rPr>
              <w:t>Unchanged; no post-earnings update</w:t>
            </w:r>
          </w:p>
        </w:tc>
      </w:tr>
      <w:tr>
        <w:tc>
          <w:tcPr>
            <w:tcW w:type="dxa" w:w="1728"/>
          </w:tcPr>
          <w:p>
            <w:r>
              <w:rPr>
                <w:rFonts w:ascii="Calibri" w:hAnsi="Calibri"/>
                <w:sz w:val="22"/>
              </w:rPr>
              <w:t>Capital Expenditures (FY2026)</w:t>
            </w:r>
          </w:p>
        </w:tc>
        <w:tc>
          <w:tcPr>
            <w:tcW w:type="dxa" w:w="1728"/>
          </w:tcPr>
          <w:p>
            <w:r>
              <w:rPr>
                <w:rFonts w:ascii="Calibri" w:hAnsi="Calibri"/>
                <w:sz w:val="22"/>
              </w:rPr>
              <w:t>~$100M for full year 2026</w:t>
            </w:r>
          </w:p>
        </w:tc>
        <w:tc>
          <w:tcPr>
            <w:tcW w:type="dxa" w:w="1728"/>
          </w:tcPr>
          <w:p>
            <w:r>
              <w:rPr>
                <w:rFonts w:ascii="Calibri" w:hAnsi="Calibri"/>
                <w:sz w:val="22"/>
              </w:rPr>
              <w:t>—</w:t>
            </w:r>
          </w:p>
        </w:tc>
        <w:tc>
          <w:tcPr>
            <w:tcW w:type="dxa" w:w="1728"/>
          </w:tcPr>
          <w:p>
            <w:r>
              <w:rPr>
                <w:rFonts w:ascii="Calibri" w:hAnsi="Calibri"/>
                <w:sz w:val="22"/>
              </w:rPr>
              <w:t>~$100M</w:t>
            </w:r>
          </w:p>
        </w:tc>
        <w:tc>
          <w:tcPr>
            <w:tcW w:type="dxa" w:w="1728"/>
          </w:tcPr>
          <w:p>
            <w:r>
              <w:rPr>
                <w:rFonts w:ascii="Calibri" w:hAnsi="Calibri"/>
                <w:sz w:val="22"/>
              </w:rPr>
              <w:t>Unchanged; no post-earnings update</w:t>
            </w:r>
          </w:p>
        </w:tc>
      </w:tr>
      <w:tr>
        <w:tc>
          <w:tcPr>
            <w:tcW w:type="dxa" w:w="1728"/>
          </w:tcPr>
          <w:p>
            <w:r>
              <w:rPr>
                <w:rFonts w:ascii="Calibri" w:hAnsi="Calibri"/>
                <w:sz w:val="22"/>
              </w:rPr>
              <w:t>Effective Tax Rate (FY2026)</w:t>
            </w:r>
          </w:p>
        </w:tc>
        <w:tc>
          <w:tcPr>
            <w:tcW w:type="dxa" w:w="1728"/>
          </w:tcPr>
          <w:p>
            <w:r>
              <w:rPr>
                <w:rFonts w:ascii="Calibri" w:hAnsi="Calibri"/>
                <w:sz w:val="22"/>
              </w:rPr>
              <w:t>22%–23% for full year 2026</w:t>
            </w:r>
          </w:p>
        </w:tc>
        <w:tc>
          <w:tcPr>
            <w:tcW w:type="dxa" w:w="1728"/>
          </w:tcPr>
          <w:p>
            <w:r>
              <w:rPr>
                <w:rFonts w:ascii="Calibri" w:hAnsi="Calibri"/>
                <w:sz w:val="22"/>
              </w:rPr>
              <w:t>—</w:t>
            </w:r>
          </w:p>
        </w:tc>
        <w:tc>
          <w:tcPr>
            <w:tcW w:type="dxa" w:w="1728"/>
          </w:tcPr>
          <w:p>
            <w:r>
              <w:rPr>
                <w:rFonts w:ascii="Calibri" w:hAnsi="Calibri"/>
                <w:sz w:val="22"/>
              </w:rPr>
              <w:t>~22%–23%</w:t>
            </w:r>
          </w:p>
        </w:tc>
        <w:tc>
          <w:tcPr>
            <w:tcW w:type="dxa" w:w="1728"/>
          </w:tcPr>
          <w:p>
            <w:r>
              <w:rPr>
                <w:rFonts w:ascii="Calibri" w:hAnsi="Calibri"/>
                <w:sz w:val="22"/>
              </w:rPr>
              <w:t>Unchanged; 1Q26 actual was 22%</w:t>
            </w:r>
          </w:p>
        </w:tc>
      </w:tr>
      <w:tr>
        <w:tc>
          <w:tcPr>
            <w:tcW w:type="dxa" w:w="1728"/>
          </w:tcPr>
          <w:p>
            <w:r>
              <w:rPr>
                <w:rFonts w:ascii="Calibri" w:hAnsi="Calibri"/>
                <w:sz w:val="22"/>
              </w:rPr>
              <w:t>Tariff Comparisons</w:t>
            </w:r>
          </w:p>
        </w:tc>
        <w:tc>
          <w:tcPr>
            <w:tcW w:type="dxa" w:w="1728"/>
          </w:tcPr>
          <w:p>
            <w:r>
              <w:rPr>
                <w:rFonts w:ascii="Calibri" w:hAnsi="Calibri"/>
                <w:sz w:val="22"/>
              </w:rPr>
              <w:t>Q2, Q3, Q4 2026 will lap prior-year tariff headwinds (qualitative)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Confirmed at Oppenheimer conference May 6; tariffs "starting to lap" for Q2-Q4 2026</w:t>
            </w:r>
          </w:p>
        </w:tc>
      </w:tr>
      <w:tr>
        <w:tc>
          <w:tcPr>
            <w:tcW w:type="dxa" w:w="1728"/>
          </w:tcPr>
          <w:p>
            <w:r>
              <w:rPr>
                <w:rFonts w:ascii="Calibri" w:hAnsi="Calibri"/>
                <w:sz w:val="22"/>
              </w:rPr>
              <w:t>Technician Demand / Tools Group</w:t>
            </w:r>
          </w:p>
        </w:tc>
        <w:tc>
          <w:tcPr>
            <w:tcW w:type="dxa" w:w="1728"/>
          </w:tcPr>
          <w:p>
            <w:r>
              <w:rPr>
                <w:rFonts w:ascii="Calibri" w:hAnsi="Calibri"/>
                <w:sz w:val="22"/>
              </w:rPr>
              <w:t>"Early thaw" — green shoots in tool storage, franchisee optimism (qualitative)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 Tone improved at Oppenheimer May 6; franchisees "pretty optimistic"; Apollo launch "seems to have gone pretty well"</w:t>
            </w:r>
          </w:p>
        </w:tc>
      </w:tr>
      <w:tr>
        <w:tc>
          <w:tcPr>
            <w:tcW w:type="dxa" w:w="1728"/>
          </w:tcPr>
          <w:p>
            <w:r>
              <w:rPr>
                <w:rFonts w:ascii="Calibri" w:hAnsi="Calibri"/>
                <w:sz w:val="22"/>
              </w:rPr>
              <w:t>C&amp;I Critical Industries</w:t>
            </w:r>
          </w:p>
        </w:tc>
        <w:tc>
          <w:tcPr>
            <w:tcW w:type="dxa" w:w="1728"/>
          </w:tcPr>
          <w:p>
            <w:r>
              <w:rPr>
                <w:rFonts w:ascii="Calibri" w:hAnsi="Calibri"/>
                <w:sz w:val="22"/>
              </w:rPr>
              <w:t>Considerable strength; aviation up strong double digits; military expected to improve (qualitative)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 Upgraded at Oppenheimer May 6: critical industries at highest level in nearly two years; profitability comparable to Tools Group</w:t>
            </w:r>
          </w:p>
        </w:tc>
      </w:tr>
      <w:tr>
        <w:tc>
          <w:tcPr>
            <w:tcW w:type="dxa" w:w="1728"/>
          </w:tcPr>
          <w:p>
            <w:r>
              <w:rPr>
                <w:rFonts w:ascii="Calibri" w:hAnsi="Calibri"/>
                <w:sz w:val="22"/>
              </w:rPr>
              <w:t>Diagnostics (Tools Group)</w:t>
            </w:r>
          </w:p>
        </w:tc>
        <w:tc>
          <w:tcPr>
            <w:tcW w:type="dxa" w:w="1728"/>
          </w:tcPr>
          <w:p>
            <w:r>
              <w:rPr>
                <w:rFonts w:ascii="Calibri" w:hAnsi="Calibri"/>
                <w:sz w:val="22"/>
              </w:rPr>
              <w:t>Tepid in 1Q26; difficult comparisons; Apollo launch expected to help (qualitative)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2Q26 faces "tougher comparisons" per Oppenheimer; Apollo launched early May to address middle market</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2Q26 and FY2026 have been essentially flat since the 1Q26 earnings print, with a slight downward drift in operating EPS reflecting currency headwinds and OEM dealership softness. The gap between current consensus and the post-1Q26 baseline is narrow, suggesting the street has not materially re-rated the story in either direction — creating a relatively clean setup where execution will drive the reaction.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~Apr 30, 2026 (Post-1Q26 Baseline)</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(1Q26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Sales — 2Q26</w:t>
            </w:r>
          </w:p>
        </w:tc>
        <w:tc>
          <w:tcPr>
            <w:tcW w:type="dxa" w:w="1080"/>
          </w:tcPr>
          <w:p>
            <w:r>
              <w:rPr>
                <w:rFonts w:ascii="Calibri" w:hAnsi="Calibri"/>
                <w:sz w:val="22"/>
              </w:rPr>
              <w:t>$1,218.9M</w:t>
            </w:r>
          </w:p>
        </w:tc>
        <w:tc>
          <w:tcPr>
            <w:tcW w:type="dxa" w:w="1080"/>
          </w:tcPr>
          <w:p>
            <w:r>
              <w:rPr>
                <w:rFonts w:ascii="Calibri" w:hAnsi="Calibri"/>
                <w:sz w:val="22"/>
              </w:rPr>
              <w:t>$1,218.9M</w:t>
            </w:r>
          </w:p>
        </w:tc>
        <w:tc>
          <w:tcPr>
            <w:tcW w:type="dxa" w:w="1080"/>
          </w:tcPr>
          <w:p>
            <w:r>
              <w:rPr>
                <w:rFonts w:ascii="Calibri" w:hAnsi="Calibri"/>
                <w:sz w:val="22"/>
              </w:rPr>
              <w:t>Flat</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2Q26</w:t>
            </w:r>
          </w:p>
        </w:tc>
        <w:tc>
          <w:tcPr>
            <w:tcW w:type="dxa" w:w="1080"/>
          </w:tcPr>
          <w:p>
            <w:r>
              <w:rPr>
                <w:rFonts w:ascii="Calibri" w:hAnsi="Calibri"/>
                <w:sz w:val="22"/>
              </w:rPr>
              <w:t>$4.93</w:t>
            </w:r>
          </w:p>
        </w:tc>
        <w:tc>
          <w:tcPr>
            <w:tcW w:type="dxa" w:w="1080"/>
          </w:tcPr>
          <w:p>
            <w:r>
              <w:rPr>
                <w:rFonts w:ascii="Calibri" w:hAnsi="Calibri"/>
                <w:sz w:val="22"/>
              </w:rPr>
              <w:t>$4.93</w:t>
            </w:r>
          </w:p>
        </w:tc>
        <w:tc>
          <w:tcPr>
            <w:tcW w:type="dxa" w:w="1080"/>
          </w:tcPr>
          <w:p>
            <w:r>
              <w:rPr>
                <w:rFonts w:ascii="Calibri" w:hAnsi="Calibri"/>
                <w:sz w:val="22"/>
              </w:rPr>
              <w:t>Flat</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Gross Margin — 2Q26</w:t>
            </w:r>
          </w:p>
        </w:tc>
        <w:tc>
          <w:tcPr>
            <w:tcW w:type="dxa" w:w="1080"/>
          </w:tcPr>
          <w:p>
            <w:r>
              <w:rPr>
                <w:rFonts w:ascii="Calibri" w:hAnsi="Calibri"/>
                <w:sz w:val="22"/>
              </w:rPr>
              <w:t>54.6%</w:t>
            </w:r>
          </w:p>
        </w:tc>
        <w:tc>
          <w:tcPr>
            <w:tcW w:type="dxa" w:w="1080"/>
          </w:tcPr>
          <w:p>
            <w:r>
              <w:rPr>
                <w:rFonts w:ascii="Calibri" w:hAnsi="Calibri"/>
                <w:sz w:val="22"/>
              </w:rPr>
              <w:t>54.6%</w:t>
            </w:r>
          </w:p>
        </w:tc>
        <w:tc>
          <w:tcPr>
            <w:tcW w:type="dxa" w:w="1080"/>
          </w:tcPr>
          <w:p>
            <w:r>
              <w:rPr>
                <w:rFonts w:ascii="Calibri" w:hAnsi="Calibri"/>
                <w:sz w:val="22"/>
              </w:rPr>
              <w:t>Flat</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FY2026</w:t>
            </w:r>
          </w:p>
        </w:tc>
        <w:tc>
          <w:tcPr>
            <w:tcW w:type="dxa" w:w="1080"/>
          </w:tcPr>
          <w:p>
            <w:r>
              <w:rPr>
                <w:rFonts w:ascii="Calibri" w:hAnsi="Calibri"/>
                <w:sz w:val="22"/>
              </w:rPr>
              <w:t>$4,910.9M</w:t>
            </w:r>
          </w:p>
        </w:tc>
        <w:tc>
          <w:tcPr>
            <w:tcW w:type="dxa" w:w="1080"/>
          </w:tcPr>
          <w:p>
            <w:r>
              <w:rPr>
                <w:rFonts w:ascii="Calibri" w:hAnsi="Calibri"/>
                <w:sz w:val="22"/>
              </w:rPr>
              <w:t>$4,912.9M</w:t>
            </w:r>
          </w:p>
        </w:tc>
        <w:tc>
          <w:tcPr>
            <w:tcW w:type="dxa" w:w="1080"/>
          </w:tcPr>
          <w:p>
            <w:r>
              <w:rPr>
                <w:rFonts w:ascii="Calibri" w:hAnsi="Calibri"/>
                <w:sz w:val="22"/>
              </w:rPr>
              <w:t>+0.04%</w:t>
            </w:r>
          </w:p>
        </w:tc>
        <w:tc>
          <w:tcPr>
            <w:tcW w:type="dxa" w:w="1080"/>
          </w:tcPr>
          <w:p>
            <w:r>
              <w:rPr>
                <w:rFonts w:ascii="Calibri" w:hAnsi="Calibri"/>
                <w:sz w:val="22"/>
              </w:rPr>
              <w:t>No specific guidance</w:t>
            </w:r>
          </w:p>
        </w:tc>
        <w:tc>
          <w:tcPr>
            <w:tcW w:type="dxa" w:w="1080"/>
          </w:tcPr>
          <w:p>
            <w:r>
              <w:rPr>
                <w:rFonts w:ascii="Calibri" w:hAnsi="Calibri"/>
                <w:sz w:val="22"/>
              </w:rPr>
              <w:t>No 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$19.65</w:t>
            </w:r>
          </w:p>
        </w:tc>
        <w:tc>
          <w:tcPr>
            <w:tcW w:type="dxa" w:w="1080"/>
          </w:tcPr>
          <w:p>
            <w:r>
              <w:rPr>
                <w:rFonts w:ascii="Calibri" w:hAnsi="Calibri"/>
                <w:sz w:val="22"/>
              </w:rPr>
              <w:t>$19.65</w:t>
            </w:r>
          </w:p>
        </w:tc>
        <w:tc>
          <w:tcPr>
            <w:tcW w:type="dxa" w:w="1080"/>
          </w:tcPr>
          <w:p>
            <w:r>
              <w:rPr>
                <w:rFonts w:ascii="Calibri" w:hAnsi="Calibri"/>
                <w:sz w:val="22"/>
              </w:rPr>
              <w:t>Flat</w:t>
            </w:r>
          </w:p>
        </w:tc>
        <w:tc>
          <w:tcPr>
            <w:tcW w:type="dxa" w:w="1080"/>
          </w:tcPr>
          <w:p>
            <w:r>
              <w:rPr>
                <w:rFonts w:ascii="Calibri" w:hAnsi="Calibri"/>
                <w:sz w:val="22"/>
              </w:rPr>
              <w:t>Tax rate 22–23%; Corp costs ~$28M/qtr; CapEx ~$100M</w:t>
            </w:r>
          </w:p>
        </w:tc>
        <w:tc>
          <w:tcPr>
            <w:tcW w:type="dxa" w:w="1080"/>
          </w:tcPr>
          <w:p>
            <w:r>
              <w:rPr>
                <w:rFonts w:ascii="Calibri" w:hAnsi="Calibri"/>
                <w:sz w:val="22"/>
              </w:rPr>
              <w:t>Unchanged</w:t>
            </w:r>
          </w:p>
        </w:tc>
        <w:tc>
          <w:tcPr>
            <w:tcW w:type="dxa" w:w="1080"/>
          </w:tcPr>
          <w:p>
            <w:r>
              <w:rPr>
                <w:rFonts w:ascii="Calibri" w:hAnsi="Calibri"/>
                <w:sz w:val="22"/>
              </w:rPr>
              <w:t>No change</w:t>
            </w:r>
          </w:p>
        </w:tc>
        <w:tc>
          <w:tcPr>
            <w:tcW w:type="dxa" w:w="1080"/>
          </w:tcPr>
          <w:p>
            <w:r>
              <w:rPr>
                <w:rFonts w:ascii="Calibri" w:hAnsi="Calibri"/>
                <w:sz w:val="22"/>
              </w:rPr>
              <w:t>N/A (no EPS guidance)</w:t>
            </w:r>
          </w:p>
        </w:tc>
      </w:tr>
    </w:tbl>
    <w:p>
      <w:r>
        <w:rPr>
          <w:rFonts w:ascii="Calibri" w:hAnsi="Calibri"/>
          <w:color w:val="525866"/>
          <w:sz w:val="22"/>
        </w:rPr>
        <w:t>Estimates have been remarkably stable since the 1Q26 print, with essentially no revision in either direction for 2Q26 or FY2026. This stability reflects the market's balanced view: the "early thaw" narrative is encouraging but not yet confirmed, and the Apollo launch and tariff lapping are potential tailwinds that the street is not yet pricing in aggressively. All consensus figures sourced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SNA has underperformed the S&amp;P 500 (+3.4% vs. +5.6%) but slightly outperformed XLI (+2.6%) since the 1Q26 earnings date. The stock's modest gain is almost entirely multiple-driven (+3.6% P/E expansion over 3 months), suggesting the market is giving SNA credit for the recovery narrative without yet pricing in a full acceleration. The stock is not stretched at ~19.7x NTM P/E.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SNA vs. XLI vs. S&amp;P 500 — Indexed to 100 at April 23, 2026 (1Q26 Earnings Date). Source: Yahoo Finance.</w:t>
      </w:r>
    </w:p>
    <w:p>
      <w:r>
        <w:rPr>
          <w:rFonts w:ascii="Calibri" w:hAnsi="Calibri"/>
          <w:color w:val="525866"/>
          <w:sz w:val="22"/>
        </w:rPr>
        <w:t>Since the 1Q26 earnings date (April 23, 2026), SNA has returned approximately +3.4%, compared to +5.6% for the S&amp;P 500 (SPY) and +2.6% for the Industrial Select Sector SPDR (XLI). The stock's performance reflects a market that is cautiously constructive on the recovery narrative but not yet willing to price in a full acceleration. The 12-month stock performance decomposition shows that SNA's +23.7% gain over the past year has been driven roughly equally by multiple expansion (+14.0% P/E expansion) and earnings growth, suggesting the re-rating has been meaningful but not excessive. At the current NTM P/E of ~19.7x, SNA trades at a modest premium to the industrial sector but below its own peak multiples, leaving room for further re-rating if the recovery thesis is confirmed. Source: Yahoo Finance / Stock Price Data.</w:t>
      </w:r>
    </w:p>
    <w:p>
      <w:pPr>
        <w:pStyle w:val="Heading2"/>
      </w:pPr>
      <w:r>
        <w:rPr>
          <w:rFonts w:ascii="Calibri" w:hAnsi="Calibri"/>
          <w:b/>
          <w:color w:val="3B4259"/>
          <w:sz w:val="28"/>
        </w:rPr>
        <w:t>6. Peer Commentary &amp; Read-Throughs (Last 60 Days, Current Quarter Focus)</w:t>
      </w:r>
    </w:p>
    <w:p>
      <w:r>
        <w:rPr>
          <w:rFonts w:ascii="Calibri" w:hAnsi="Calibri"/>
          <w:b/>
          <w:color w:val="525866"/>
          <w:sz w:val="22"/>
        </w:rPr>
        <w:t xml:space="preserve">Key Takeaway: </w:t>
      </w:r>
      <w:r>
        <w:rPr>
          <w:rFonts w:ascii="Calibri" w:hAnsi="Calibri"/>
          <w:color w:val="525866"/>
          <w:sz w:val="22"/>
        </w:rPr>
        <w:t>Peer commentary from companies reporting 2Q26 results (calendar April-June 2026) is broadly constructive for Snap-on's industrial and automotive end markets. Genuine Parts' industrial segment delivered 6% comparable sales growth with PMI above 50 for six consecutive months; Toro Company reported strong professional segment demand driven by infrastructure and specialty construction; and Valmont Industries raised full-year guidance on utility infrastructure strength. The automotive aftermarket showed resilience in non-discretionary repair categories despite a softer consumer backdrop. These read-throughs support the bull case for SNA's C&amp;I and Tools Group segments in 2Q26.</w:t>
      </w:r>
    </w:p>
    <w:p>
      <w:r>
        <w:rPr>
          <w:rFonts w:ascii="Calibri" w:hAnsi="Calibri"/>
          <w:b/>
          <w:color w:val="525866"/>
          <w:sz w:val="22"/>
        </w:rPr>
        <w:t xml:space="preserve">Note: </w:t>
      </w:r>
      <w:r>
        <w:rPr>
          <w:rFonts w:ascii="Calibri" w:hAnsi="Calibri"/>
          <w:color w:val="525866"/>
          <w:sz w:val="22"/>
        </w:rPr>
        <w:t>All peer commentary below is strictly limited to observations about calendar Q2 2026 (April-June) conditions or forward outlooks issued after May 23, 2026. Prior-quarter-only observations have been excluded.</w:t>
      </w:r>
    </w:p>
    <w:p>
      <w:pPr>
        <w:pStyle w:val="Heading3"/>
      </w:pPr>
      <w:r>
        <w:rPr>
          <w:rFonts w:ascii="Calibri" w:hAnsi="Calibri"/>
          <w:b/>
          <w:color w:val="3B4259"/>
          <w:sz w:val="24"/>
        </w:rPr>
        <w:t>Genuine Parts Company (GPC) — 2Q26 Earnings (Reported July 21, 2026)</w:t>
      </w:r>
    </w:p>
    <w:p>
      <w:r>
        <w:rPr>
          <w:rFonts w:ascii="Calibri" w:hAnsi="Calibri"/>
          <w:b/>
          <w:color w:val="525866"/>
          <w:sz w:val="22"/>
        </w:rPr>
        <w:t>Industrial Segment (Motion) — Strong Read-Through for SNA C&amp;I:</w:t>
      </w:r>
      <w:r>
        <w:rPr>
          <w:rFonts w:ascii="Calibri" w:hAnsi="Calibri"/>
          <w:color w:val="525866"/>
          <w:sz w:val="22"/>
        </w:rPr>
        <w:t xml:space="preserve"> GPC's industrial segment delivered total sales of $2.4B in 2Q26, up 7% year-over-year with comparable sales up 6%. The company cited six consecutive PMI readings above 50 and growth in 11 of 14 tracked end markets (up from 10 in 1Q26 and just 5 in 2Q25). Notably, the core MRO business (80% of Motion sales) was up ~7%, and project-based demand (20% of sales) was up ~9% — its strongest performance since 1Q23. Customer sentiment was described as positive, with deferred maintenance normalizing and larger capital investment projects improving. </w:t>
      </w:r>
    </w:p>
    <w:p>
      <w:r>
        <w:rPr>
          <w:rFonts w:ascii="Calibri" w:hAnsi="Calibri"/>
          <w:b/>
          <w:color w:val="525866"/>
          <w:sz w:val="22"/>
        </w:rPr>
        <w:t xml:space="preserve">SNA Read-Through: </w:t>
      </w:r>
      <w:r>
        <w:rPr>
          <w:rFonts w:ascii="Calibri" w:hAnsi="Calibri"/>
          <w:color w:val="525866"/>
          <w:sz w:val="22"/>
        </w:rPr>
        <w:t>The broad-based industrial demand strength, improving PMI backdrop, and normalizing deferred maintenance are directly supportive of Snap-on's C&amp;I segment, which serves many of the same industrial end markets (aviation, heavy-duty, natural resources, manufacturing). GPC's industrial strength in 2Q26 corroborates management's commentary at the May 6 Oppenheimer conference that C&amp;I critical industries reached their highest level in nearly two years. Source: GPC 2Q26 Earnings Call Transcript and Earnings Release (July 21, 2026).</w:t>
      </w:r>
    </w:p>
    <w:p>
      <w:r>
        <w:rPr>
          <w:rFonts w:ascii="Calibri" w:hAnsi="Calibri"/>
          <w:b/>
          <w:color w:val="525866"/>
          <w:sz w:val="22"/>
        </w:rPr>
        <w:t>Automotive Aftermarket — Constructive but Mixed:</w:t>
      </w:r>
      <w:r>
        <w:rPr>
          <w:rFonts w:ascii="Calibri" w:hAnsi="Calibri"/>
          <w:color w:val="525866"/>
          <w:sz w:val="22"/>
        </w:rPr>
        <w:t xml:space="preserve"> GPC's North America Automotive segment saw comparable sales up 2.6% in 2Q26, with non-discretionary repair and maintenance categories (85% of the U.S. business) up low-to-mid single digits. Commercial customers were up ~4%, while retail customers declined ~3%. The cadence showed average daily sales up low-to-mid single digits in April and May, but roughly flat in June, which GPC attributed to higher fuel prices from the Iran conflict. July month-to-date improved to low single-digit growth as fuel prices moderated.</w:t>
      </w:r>
    </w:p>
    <w:p>
      <w:r>
        <w:rPr>
          <w:rFonts w:ascii="Calibri" w:hAnsi="Calibri"/>
          <w:b/>
          <w:color w:val="525866"/>
          <w:sz w:val="22"/>
        </w:rPr>
        <w:t xml:space="preserve">SNA Read-Through: </w:t>
      </w:r>
      <w:r>
        <w:rPr>
          <w:rFonts w:ascii="Calibri" w:hAnsi="Calibri"/>
          <w:color w:val="525866"/>
          <w:sz w:val="22"/>
        </w:rPr>
        <w:t>The resilience of non-discretionary automotive repair demand is supportive of Snap-on's core Tools Group thesis — technicians need tools to service vehicles regardless of macro conditions. The June softness driven by fuel prices is a modest risk, but the July rebound suggests the underlying demand environment remains intact. The strength in commercial customers (professional repair shops) is particularly relevant for SNA's franchisee network. Source: GPC 2Q26 Earnings Call Transcript and Earnings Release (July 21, 2026).</w:t>
      </w:r>
    </w:p>
    <w:p>
      <w:pPr>
        <w:pStyle w:val="Heading3"/>
      </w:pPr>
      <w:r>
        <w:rPr>
          <w:rFonts w:ascii="Calibri" w:hAnsi="Calibri"/>
          <w:b/>
          <w:color w:val="3B4259"/>
          <w:sz w:val="24"/>
        </w:rPr>
        <w:t>The Toro Company (TTC) — 2Q26 Earnings (Reported June 4, 2026)</w:t>
      </w:r>
    </w:p>
    <w:p>
      <w:r>
        <w:rPr>
          <w:rFonts w:ascii="Calibri" w:hAnsi="Calibri"/>
          <w:b/>
          <w:color w:val="525866"/>
          <w:sz w:val="22"/>
        </w:rPr>
        <w:t>Professional Segment &amp; Infrastructure Demand:</w:t>
      </w:r>
      <w:r>
        <w:rPr>
          <w:rFonts w:ascii="Calibri" w:hAnsi="Calibri"/>
          <w:color w:val="525866"/>
          <w:sz w:val="22"/>
        </w:rPr>
        <w:t xml:space="preserve"> Toro reported 8% top-line growth in 2Q26 with Professional segment sales up 9%. Underground and specialty construction delivered low double-digit organic growth, driven by "incredible sustained demand" for directional drilling equipment used in fiber-to-home, power utility, and data center infrastructure projects. Management described demand as "very strong" and extending "well out into the future." The Ditch Witch business was described as a "very strong contributor" with double-digit growth.</w:t>
      </w:r>
    </w:p>
    <w:p>
      <w:r>
        <w:rPr>
          <w:rFonts w:ascii="Calibri" w:hAnsi="Calibri"/>
          <w:b/>
          <w:color w:val="525866"/>
          <w:sz w:val="22"/>
        </w:rPr>
        <w:t xml:space="preserve">SNA Read-Through: </w:t>
      </w:r>
      <w:r>
        <w:rPr>
          <w:rFonts w:ascii="Calibri" w:hAnsi="Calibri"/>
          <w:color w:val="525866"/>
          <w:sz w:val="22"/>
        </w:rPr>
        <w:t>The strong infrastructure and specialty construction demand corroborates Snap-on's commentary about data center tooling demand and C&amp;I critical industries strength. Toro's observation that data center construction is driving demand for power, fiber, and water infrastructure work is consistent with Snap-on's emerging data center tooling opportunity. The professional segment's resilience — with "true contractors" described as "healthy throughout the entire cycle" — is supportive of SNA's premium tool positioning.</w:t>
      </w:r>
    </w:p>
    <w:p>
      <w:r>
        <w:rPr>
          <w:rFonts w:ascii="Calibri" w:hAnsi="Calibri"/>
          <w:b/>
          <w:color w:val="525866"/>
          <w:sz w:val="22"/>
        </w:rPr>
        <w:t>Cost &amp; Tariff Environment:</w:t>
      </w:r>
      <w:r>
        <w:rPr>
          <w:rFonts w:ascii="Calibri" w:hAnsi="Calibri"/>
          <w:color w:val="525866"/>
          <w:sz w:val="22"/>
        </w:rPr>
        <w:t xml:space="preserve"> Toro flagged "increased inflationary pressures" in 2Q26, with material and fuel inflation expected to impact results by ~$0.16/share for the full year, offset by pricing and productivity actions. Section 232 tariff restructuring on April 6 had a "modest unfavorable impact." Toro expects tariff pressures to be "more acute in Q3" as mitigation actions are not fully in place until Q4.</w:t>
      </w:r>
    </w:p>
    <w:p>
      <w:r>
        <w:rPr>
          <w:rFonts w:ascii="Calibri" w:hAnsi="Calibri"/>
          <w:b/>
          <w:color w:val="525866"/>
          <w:sz w:val="22"/>
        </w:rPr>
        <w:t xml:space="preserve">SNA Read-Through: </w:t>
      </w:r>
      <w:r>
        <w:rPr>
          <w:rFonts w:ascii="Calibri" w:hAnsi="Calibri"/>
          <w:color w:val="525866"/>
          <w:sz w:val="22"/>
        </w:rPr>
        <w:t>Toro's tariff commentary is broadly consistent with Snap-on's own experience, though SNA's domestic manufacturing footprint provides a relative advantage. The observation that tariff pressures are "starting to lap" for Q2-Q4 2026 (as noted by SNA management) is corroborated by Toro's experience. Source: TTC 2Q26 Earnings Call Transcript (June 4, 2026).</w:t>
      </w:r>
    </w:p>
    <w:p>
      <w:pPr>
        <w:pStyle w:val="Heading3"/>
      </w:pPr>
      <w:r>
        <w:rPr>
          <w:rFonts w:ascii="Calibri" w:hAnsi="Calibri"/>
          <w:b/>
          <w:color w:val="3B4259"/>
          <w:sz w:val="24"/>
        </w:rPr>
        <w:t>Valmont Industries (VMI) — 2Q26 Earnings (Reported July 21, 2026)</w:t>
      </w:r>
    </w:p>
    <w:p>
      <w:r>
        <w:rPr>
          <w:rFonts w:ascii="Calibri" w:hAnsi="Calibri"/>
          <w:b/>
          <w:color w:val="525866"/>
          <w:sz w:val="22"/>
        </w:rPr>
        <w:t>Infrastructure Strength &amp; Raised Guidance:</w:t>
      </w:r>
      <w:r>
        <w:rPr>
          <w:rFonts w:ascii="Calibri" w:hAnsi="Calibri"/>
          <w:color w:val="525866"/>
          <w:sz w:val="22"/>
        </w:rPr>
        <w:t xml:space="preserve"> Valmont raised its full-year 2026 net sales outlook to $4.3-$4.45B (from $4.2-$4.4B) and diluted EPS to $22.25-$23.50 (from $21.50-$23.50), driven by continued strength in North America Utility (+33.9% in 2Q26) and Coatings (+16.6%). Management described the utility demand environment as "robust and strong across all parts of the utility business" and characterized the current cycle as "the early stages of a multiyear investment cycle." Infrastructure end markets were described as "durable."</w:t>
      </w:r>
    </w:p>
    <w:p>
      <w:r>
        <w:rPr>
          <w:rFonts w:ascii="Calibri" w:hAnsi="Calibri"/>
          <w:b/>
          <w:color w:val="525866"/>
          <w:sz w:val="22"/>
        </w:rPr>
        <w:t xml:space="preserve">SNA Read-Through: </w:t>
      </w:r>
      <w:r>
        <w:rPr>
          <w:rFonts w:ascii="Calibri" w:hAnsi="Calibri"/>
          <w:color w:val="525866"/>
          <w:sz w:val="22"/>
        </w:rPr>
        <w:t>Valmont's raised guidance and characterization of infrastructure demand as a "multiyear investment cycle" is supportive of Snap-on's C&amp;I critical industries thesis, particularly for aviation, heavy-duty, and industrial tooling. The data center and grid modernization demand driving Valmont's utility business is the same infrastructure buildout that Snap-on cited as an emerging tooling opportunity. Source: VMI 2Q26 Earnings Call Transcript and Earnings Release (July 21, 2026).</w:t>
      </w:r>
    </w:p>
    <w:p>
      <w:r>
        <w:rPr>
          <w:rFonts w:ascii="Calibri" w:hAnsi="Calibri"/>
          <w:b/>
          <w:color w:val="525866"/>
          <w:sz w:val="22"/>
        </w:rPr>
        <w:t>Cost Pressures:</w:t>
      </w:r>
      <w:r>
        <w:rPr>
          <w:rFonts w:ascii="Calibri" w:hAnsi="Calibri"/>
          <w:color w:val="525866"/>
          <w:sz w:val="22"/>
        </w:rPr>
        <w:t xml:space="preserve"> Valmont noted that material cost inflation "accelerated" in 2Q26, with steel up 27-30% year-to-date and diesel up 45% year-to-date. The company characterized this as a "manageable cost" with timing differences between pricing increases and P&amp;L impact, and does not expect it to change customer demand or long-term margin trajectory.</w:t>
      </w:r>
    </w:p>
    <w:p>
      <w:r>
        <w:rPr>
          <w:rFonts w:ascii="Calibri" w:hAnsi="Calibri"/>
          <w:b/>
          <w:color w:val="525866"/>
          <w:sz w:val="22"/>
        </w:rPr>
        <w:t xml:space="preserve">SNA Read-Through: </w:t>
      </w:r>
      <w:r>
        <w:rPr>
          <w:rFonts w:ascii="Calibri" w:hAnsi="Calibri"/>
          <w:color w:val="525866"/>
          <w:sz w:val="22"/>
        </w:rPr>
        <w:t>Rising material costs are a headwind for Snap-on's C&amp;I segment (which management noted is most exposed to tariffs and material costs), but SNA's domestic manufacturing and RCI initiatives have historically allowed it to offset these pressures. The fact that Valmont characterizes the cost inflation as manageable and not demand-destructive is a positive signal for the broader industrial environment. Source: VMI 2Q26 Earnings Call Transcript and Earnings Release (July 21,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Report Date</w:t>
            </w:r>
          </w:p>
        </w:tc>
        <w:tc>
          <w:tcPr>
            <w:tcW w:type="dxa" w:w="1728"/>
            <w:shd w:val="clear" w:color="auto" w:fill="3B4259"/>
          </w:tcPr>
          <w:p>
            <w:r>
              <w:rPr>
                <w:rFonts w:ascii="Calibri" w:hAnsi="Calibri"/>
                <w:b/>
                <w:color w:val="FFFFFF"/>
                <w:sz w:val="22"/>
              </w:rPr>
              <w:t>Key 2Q26 Observation</w:t>
            </w:r>
          </w:p>
        </w:tc>
        <w:tc>
          <w:tcPr>
            <w:tcW w:type="dxa" w:w="1728"/>
            <w:shd w:val="clear" w:color="auto" w:fill="3B4259"/>
          </w:tcPr>
          <w:p>
            <w:r>
              <w:rPr>
                <w:rFonts w:ascii="Calibri" w:hAnsi="Calibri"/>
                <w:b/>
                <w:color w:val="FFFFFF"/>
                <w:sz w:val="22"/>
              </w:rPr>
              <w:t>SNA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GPC (Genuine Parts)</w:t>
            </w:r>
          </w:p>
        </w:tc>
        <w:tc>
          <w:tcPr>
            <w:tcW w:type="dxa" w:w="1728"/>
          </w:tcPr>
          <w:p>
            <w:r>
              <w:rPr>
                <w:rFonts w:ascii="Calibri" w:hAnsi="Calibri"/>
                <w:sz w:val="22"/>
              </w:rPr>
              <w:t>Jul 21, 2026</w:t>
            </w:r>
          </w:p>
        </w:tc>
        <w:tc>
          <w:tcPr>
            <w:tcW w:type="dxa" w:w="1728"/>
          </w:tcPr>
          <w:p>
            <w:r>
              <w:rPr>
                <w:rFonts w:ascii="Calibri" w:hAnsi="Calibri"/>
                <w:sz w:val="22"/>
              </w:rPr>
              <w:t>Industrial comparable sales +6%; 6 consecutive PMI readings &gt;50; 11/14 end markets growing; deferred maintenance normalizing</w:t>
            </w:r>
          </w:p>
        </w:tc>
        <w:tc>
          <w:tcPr>
            <w:tcW w:type="dxa" w:w="1728"/>
          </w:tcPr>
          <w:p>
            <w:r>
              <w:rPr>
                <w:rFonts w:ascii="Calibri" w:hAnsi="Calibri"/>
                <w:sz w:val="22"/>
              </w:rPr>
              <w:t>Positive for C&amp;I segment; corroborates critical industries strength</w:t>
            </w:r>
          </w:p>
        </w:tc>
        <w:tc>
          <w:tcPr>
            <w:tcW w:type="dxa" w:w="1728"/>
          </w:tcPr>
          <w:p>
            <w:r>
              <w:rPr>
                <w:rFonts w:ascii="Calibri" w:hAnsi="Calibri"/>
                <w:b/>
                <w:color w:val="30A46C"/>
                <w:sz w:val="22"/>
              </w:rPr>
              <w:t>Positive</w:t>
            </w:r>
          </w:p>
        </w:tc>
      </w:tr>
      <w:tr>
        <w:tc>
          <w:tcPr>
            <w:tcW w:type="dxa" w:w="1728"/>
          </w:tcPr>
          <w:p>
            <w:r>
              <w:rPr>
                <w:rFonts w:ascii="Calibri" w:hAnsi="Calibri"/>
                <w:sz w:val="22"/>
              </w:rPr>
              <w:t>GPC (Genuine Parts)</w:t>
            </w:r>
          </w:p>
        </w:tc>
        <w:tc>
          <w:tcPr>
            <w:tcW w:type="dxa" w:w="1728"/>
          </w:tcPr>
          <w:p>
            <w:r>
              <w:rPr>
                <w:rFonts w:ascii="Calibri" w:hAnsi="Calibri"/>
                <w:sz w:val="22"/>
              </w:rPr>
              <w:t>Jul 21, 2026</w:t>
            </w:r>
          </w:p>
        </w:tc>
        <w:tc>
          <w:tcPr>
            <w:tcW w:type="dxa" w:w="1728"/>
          </w:tcPr>
          <w:p>
            <w:r>
              <w:rPr>
                <w:rFonts w:ascii="Calibri" w:hAnsi="Calibri"/>
                <w:sz w:val="22"/>
              </w:rPr>
              <w:t>NA Auto comparable sales +2.6%; non-discretionary repair categories up low-to-mid single digits; June softness from fuel prices; July rebounding</w:t>
            </w:r>
          </w:p>
        </w:tc>
        <w:tc>
          <w:tcPr>
            <w:tcW w:type="dxa" w:w="1728"/>
          </w:tcPr>
          <w:p>
            <w:r>
              <w:rPr>
                <w:rFonts w:ascii="Calibri" w:hAnsi="Calibri"/>
                <w:sz w:val="22"/>
              </w:rPr>
              <w:t>Broadly supportive of Tools Group demand; June softness is a modest risk</w:t>
            </w:r>
          </w:p>
        </w:tc>
        <w:tc>
          <w:tcPr>
            <w:tcW w:type="dxa" w:w="1728"/>
          </w:tcPr>
          <w:p>
            <w:r>
              <w:rPr>
                <w:rFonts w:ascii="Calibri" w:hAnsi="Calibri"/>
                <w:b/>
                <w:color w:val="30A46C"/>
                <w:sz w:val="22"/>
              </w:rPr>
              <w:t>Neutral/Positive</w:t>
            </w:r>
          </w:p>
        </w:tc>
      </w:tr>
      <w:tr>
        <w:tc>
          <w:tcPr>
            <w:tcW w:type="dxa" w:w="1728"/>
          </w:tcPr>
          <w:p>
            <w:r>
              <w:rPr>
                <w:rFonts w:ascii="Calibri" w:hAnsi="Calibri"/>
                <w:sz w:val="22"/>
              </w:rPr>
              <w:t>TTC (Toro Company)</w:t>
            </w:r>
          </w:p>
        </w:tc>
        <w:tc>
          <w:tcPr>
            <w:tcW w:type="dxa" w:w="1728"/>
          </w:tcPr>
          <w:p>
            <w:r>
              <w:rPr>
                <w:rFonts w:ascii="Calibri" w:hAnsi="Calibri"/>
                <w:sz w:val="22"/>
              </w:rPr>
              <w:t>Jun 4, 2026</w:t>
            </w:r>
          </w:p>
        </w:tc>
        <w:tc>
          <w:tcPr>
            <w:tcW w:type="dxa" w:w="1728"/>
          </w:tcPr>
          <w:p>
            <w:r>
              <w:rPr>
                <w:rFonts w:ascii="Calibri" w:hAnsi="Calibri"/>
                <w:sz w:val="22"/>
              </w:rPr>
              <w:t>Professional segment +9%; underground/specialty construction low double-digit organic growth; data center infrastructure demand "incredible"</w:t>
            </w:r>
          </w:p>
        </w:tc>
        <w:tc>
          <w:tcPr>
            <w:tcW w:type="dxa" w:w="1728"/>
          </w:tcPr>
          <w:p>
            <w:r>
              <w:rPr>
                <w:rFonts w:ascii="Calibri" w:hAnsi="Calibri"/>
                <w:sz w:val="22"/>
              </w:rPr>
              <w:t>Positive for C&amp;I; corroborates data center tooling opportunity</w:t>
            </w:r>
          </w:p>
        </w:tc>
        <w:tc>
          <w:tcPr>
            <w:tcW w:type="dxa" w:w="1728"/>
          </w:tcPr>
          <w:p>
            <w:r>
              <w:rPr>
                <w:rFonts w:ascii="Calibri" w:hAnsi="Calibri"/>
                <w:b/>
                <w:color w:val="30A46C"/>
                <w:sz w:val="22"/>
              </w:rPr>
              <w:t>Positive</w:t>
            </w:r>
          </w:p>
        </w:tc>
      </w:tr>
      <w:tr>
        <w:tc>
          <w:tcPr>
            <w:tcW w:type="dxa" w:w="1728"/>
          </w:tcPr>
          <w:p>
            <w:r>
              <w:rPr>
                <w:rFonts w:ascii="Calibri" w:hAnsi="Calibri"/>
                <w:sz w:val="22"/>
              </w:rPr>
              <w:t>TTC (Toro Company)</w:t>
            </w:r>
          </w:p>
        </w:tc>
        <w:tc>
          <w:tcPr>
            <w:tcW w:type="dxa" w:w="1728"/>
          </w:tcPr>
          <w:p>
            <w:r>
              <w:rPr>
                <w:rFonts w:ascii="Calibri" w:hAnsi="Calibri"/>
                <w:sz w:val="22"/>
              </w:rPr>
              <w:t>Jun 4, 2026</w:t>
            </w:r>
          </w:p>
        </w:tc>
        <w:tc>
          <w:tcPr>
            <w:tcW w:type="dxa" w:w="1728"/>
          </w:tcPr>
          <w:p>
            <w:r>
              <w:rPr>
                <w:rFonts w:ascii="Calibri" w:hAnsi="Calibri"/>
                <w:sz w:val="22"/>
              </w:rPr>
              <w:t>Material/fuel inflation headwinds ~$0.16/share; tariff pressures "more acute in Q3"; mitigation actions not fully in place until Q4</w:t>
            </w:r>
          </w:p>
        </w:tc>
        <w:tc>
          <w:tcPr>
            <w:tcW w:type="dxa" w:w="1728"/>
          </w:tcPr>
          <w:p>
            <w:r>
              <w:rPr>
                <w:rFonts w:ascii="Calibri" w:hAnsi="Calibri"/>
                <w:sz w:val="22"/>
              </w:rPr>
              <w:t>Modest risk for C&amp;I margins; SNA's domestic manufacturing provides relative advantage</w:t>
            </w:r>
          </w:p>
        </w:tc>
        <w:tc>
          <w:tcPr>
            <w:tcW w:type="dxa" w:w="1728"/>
          </w:tcPr>
          <w:p>
            <w:r>
              <w:rPr>
                <w:rFonts w:ascii="Calibri" w:hAnsi="Calibri"/>
                <w:b/>
                <w:color w:val="E5484D"/>
                <w:sz w:val="22"/>
              </w:rPr>
              <w:t>Neutral/Negative</w:t>
            </w:r>
          </w:p>
        </w:tc>
      </w:tr>
      <w:tr>
        <w:tc>
          <w:tcPr>
            <w:tcW w:type="dxa" w:w="1728"/>
          </w:tcPr>
          <w:p>
            <w:r>
              <w:rPr>
                <w:rFonts w:ascii="Calibri" w:hAnsi="Calibri"/>
                <w:sz w:val="22"/>
              </w:rPr>
              <w:t>VMI (Valmont Industries)</w:t>
            </w:r>
          </w:p>
        </w:tc>
        <w:tc>
          <w:tcPr>
            <w:tcW w:type="dxa" w:w="1728"/>
          </w:tcPr>
          <w:p>
            <w:r>
              <w:rPr>
                <w:rFonts w:ascii="Calibri" w:hAnsi="Calibri"/>
                <w:sz w:val="22"/>
              </w:rPr>
              <w:t>Jul 21, 2026</w:t>
            </w:r>
          </w:p>
        </w:tc>
        <w:tc>
          <w:tcPr>
            <w:tcW w:type="dxa" w:w="1728"/>
          </w:tcPr>
          <w:p>
            <w:r>
              <w:rPr>
                <w:rFonts w:ascii="Calibri" w:hAnsi="Calibri"/>
                <w:sz w:val="22"/>
              </w:rPr>
              <w:t>Raised FY2026 guidance; utility infrastructure demand "robust"; characterized as "early stages of multiyear investment cycle"</w:t>
            </w:r>
          </w:p>
        </w:tc>
        <w:tc>
          <w:tcPr>
            <w:tcW w:type="dxa" w:w="1728"/>
          </w:tcPr>
          <w:p>
            <w:r>
              <w:rPr>
                <w:rFonts w:ascii="Calibri" w:hAnsi="Calibri"/>
                <w:sz w:val="22"/>
              </w:rPr>
              <w:t>Positive for C&amp;I critical industries; supports multiyear demand thesis</w:t>
            </w:r>
          </w:p>
        </w:tc>
        <w:tc>
          <w:tcPr>
            <w:tcW w:type="dxa" w:w="1728"/>
          </w:tcPr>
          <w:p>
            <w:r>
              <w:rPr>
                <w:rFonts w:ascii="Calibri" w:hAnsi="Calibri"/>
                <w:b/>
                <w:color w:val="30A46C"/>
                <w:sz w:val="22"/>
              </w:rPr>
              <w:t>Positive</w:t>
            </w:r>
          </w:p>
        </w:tc>
      </w:tr>
      <w:tr>
        <w:tc>
          <w:tcPr>
            <w:tcW w:type="dxa" w:w="1728"/>
          </w:tcPr>
          <w:p>
            <w:r>
              <w:rPr>
                <w:rFonts w:ascii="Calibri" w:hAnsi="Calibri"/>
                <w:sz w:val="22"/>
              </w:rPr>
              <w:t>VMI (Valmont Industries)</w:t>
            </w:r>
          </w:p>
        </w:tc>
        <w:tc>
          <w:tcPr>
            <w:tcW w:type="dxa" w:w="1728"/>
          </w:tcPr>
          <w:p>
            <w:r>
              <w:rPr>
                <w:rFonts w:ascii="Calibri" w:hAnsi="Calibri"/>
                <w:sz w:val="22"/>
              </w:rPr>
              <w:t>Jul 21, 2026</w:t>
            </w:r>
          </w:p>
        </w:tc>
        <w:tc>
          <w:tcPr>
            <w:tcW w:type="dxa" w:w="1728"/>
          </w:tcPr>
          <w:p>
            <w:r>
              <w:rPr>
                <w:rFonts w:ascii="Calibri" w:hAnsi="Calibri"/>
                <w:sz w:val="22"/>
              </w:rPr>
              <w:t>Steel up 27-30% YTD; diesel up 45% YTD; material cost inflation "accelerated" in 2Q26</w:t>
            </w:r>
          </w:p>
        </w:tc>
        <w:tc>
          <w:tcPr>
            <w:tcW w:type="dxa" w:w="1728"/>
          </w:tcPr>
          <w:p>
            <w:r>
              <w:rPr>
                <w:rFonts w:ascii="Calibri" w:hAnsi="Calibri"/>
                <w:sz w:val="22"/>
              </w:rPr>
              <w:t>Headwind for C&amp;I margins; manageable per VMI; SNA's RCI initiatives should help offset</w:t>
            </w:r>
          </w:p>
        </w:tc>
        <w:tc>
          <w:tcPr>
            <w:tcW w:type="dxa" w:w="1728"/>
          </w:tcPr>
          <w:p>
            <w:r>
              <w:rPr>
                <w:rFonts w:ascii="Calibri" w:hAnsi="Calibri"/>
                <w:b/>
                <w:color w:val="E5484D"/>
                <w:sz w:val="22"/>
              </w:rPr>
              <w:t>Neutral/Negative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1Q26 earnings call is the launch of the Apollo diagnostic scan tool in early May 2026, which directly addresses the tepid diagnostics performance in 1Q26 and targets the underserved middle market. Combined with tariff lapping and improving franchisee sentiment, the news flow since April 23 is net positive for the 2Q26 setup.</w:t>
      </w:r>
    </w:p>
    <w:p>
      <w:pPr>
        <w:pStyle w:val="ListBullet"/>
        <w:ind w:left="360" w:hanging="360"/>
      </w:pPr>
      <w:r>
        <w:rPr>
          <w:rFonts w:ascii="Calibri" w:hAnsi="Calibri"/>
          <w:b/>
          <w:color w:val="525866"/>
          <w:sz w:val="22"/>
        </w:rPr>
        <w:t>May 6, 2026 — Oppenheimer Industrial Growth Conference:</w:t>
      </w:r>
      <w:r>
        <w:rPr>
          <w:rFonts w:ascii="Calibri" w:hAnsi="Calibri"/>
          <w:i/>
          <w:color w:val="525866"/>
          <w:sz w:val="22"/>
        </w:rPr>
        <w:t xml:space="preserve"> CEO Nick Pinchuk provided the most detailed post-1Q26 update. Key incremental disclosures: (1) Apollo diagnostic scan tool launched "last Thursday" (early May), targeting the middle market below the Strike and TRITON; management described the launch as going "pretty well" and expressed optimism; (2) C&amp;I critical industries reached their highest level in nearly two years, with profitability described as comparable to the Tools Group — a notably stronger characterization than prior periods; (3) franchisee sell-through has exceeded sell-in for the past couple of quarters, leaving the van network in a healthier inventory position; (4) tariffs are "starting to lap" for Q2-Q4 2026; (5) Asia Pacific showing "gaining momentum" with rising demand for premium products. </w:t>
      </w:r>
      <w:r>
        <w:rPr>
          <w:rFonts w:ascii="Calibri" w:hAnsi="Calibri"/>
          <w:color w:val="525866"/>
          <w:sz w:val="22"/>
        </w:rPr>
        <w:t>Implication: Net positive for 2Q26 — Apollo launch addresses the 1Q26 diagnostics weakness, and the C&amp;I upgrade is a meaningful positive signal.</w:t>
      </w:r>
    </w:p>
    <w:p>
      <w:pPr>
        <w:pStyle w:val="ListBullet"/>
        <w:ind w:left="360" w:hanging="360"/>
      </w:pPr>
      <w:r>
        <w:rPr>
          <w:rFonts w:ascii="Calibri" w:hAnsi="Calibri"/>
          <w:b/>
          <w:color w:val="525866"/>
          <w:sz w:val="22"/>
        </w:rPr>
        <w:t>May 1, 2026 — Annual Shareholder Meeting:</w:t>
      </w:r>
      <w:r>
        <w:rPr>
          <w:rFonts w:ascii="Calibri" w:hAnsi="Calibri"/>
          <w:color w:val="525866"/>
          <w:sz w:val="22"/>
        </w:rPr>
        <w:t xml:space="preserve"> Shareholders approved directors, auditor, and executive pay. No material business developments disclosed. Source: SNA 8-K (May 1, 2026).</w:t>
      </w:r>
    </w:p>
    <w:p>
      <w:pPr>
        <w:pStyle w:val="ListBullet"/>
        <w:ind w:left="360" w:hanging="360"/>
      </w:pPr>
      <w:r>
        <w:rPr>
          <w:rFonts w:ascii="Calibri" w:hAnsi="Calibri"/>
          <w:b/>
          <w:color w:val="525866"/>
          <w:sz w:val="22"/>
        </w:rPr>
        <w:t>April 23, 2026 — 1Q26 Earnings Release:</w:t>
      </w:r>
      <w:r>
        <w:rPr>
          <w:rFonts w:ascii="Calibri" w:hAnsi="Calibri"/>
          <w:i/>
          <w:color w:val="525866"/>
          <w:sz w:val="22"/>
        </w:rPr>
        <w:t xml:space="preserve"> Record first-quarter sales of $1,207.2M (+5.8% reported, +3.4% organic); Tools Group operating margin expanded 160 bps to 21.6%; C&amp;I grew 10.8% reported / 7.1% organic; RS&amp;I margin compressed 110 bps to 24.6% due to currency and technology investment; originations declined 1.5% YoY to $264.6M; delinquency rates improved. Management described an "early thaw" in technician demand with tool storage units up YoY for the first time in an extended period. </w:t>
      </w:r>
      <w:r>
        <w:rPr>
          <w:rFonts w:ascii="Calibri" w:hAnsi="Calibri"/>
          <w:color w:val="525866"/>
          <w:sz w:val="22"/>
        </w:rPr>
        <w:t>Implication: The 1Q26 print established a constructive baseline for 2Q26, with the key question being whether the "early thaw" continued.</w:t>
      </w:r>
    </w:p>
    <w:p>
      <w:pPr>
        <w:pStyle w:val="ListBullet"/>
        <w:ind w:left="360" w:hanging="360"/>
      </w:pPr>
      <w:r>
        <w:rPr>
          <w:rFonts w:ascii="Calibri" w:hAnsi="Calibri"/>
          <w:b/>
          <w:color w:val="525866"/>
          <w:sz w:val="22"/>
        </w:rPr>
        <w:t>Ongoing — Tariff Environment:</w:t>
      </w:r>
      <w:r>
        <w:rPr>
          <w:rFonts w:ascii="Calibri" w:hAnsi="Calibri"/>
          <w:i/>
          <w:color w:val="525866"/>
          <w:sz w:val="22"/>
        </w:rPr>
        <w:t xml:space="preserve"> The portal for tariff refund applications opened April 20, 2026. Snap-on's strategy is to file for rebates to preserve optionality while not depending on refunds in guidance. Management noted tariffs are "not as significant to Snap-on as they might be to many other companies" given its domestic manufacturing footprint. </w:t>
      </w:r>
      <w:r>
        <w:rPr>
          <w:rFonts w:ascii="Calibri" w:hAnsi="Calibri"/>
          <w:color w:val="525866"/>
          <w:sz w:val="22"/>
        </w:rPr>
        <w:t>Implication: Tariff lapping in 2Q-4Q26 is a tailwind; any refunds received would be upside to estimates.</w:t>
      </w:r>
    </w:p>
    <w:p>
      <w:pPr>
        <w:pStyle w:val="ListBullet"/>
        <w:ind w:left="360" w:hanging="360"/>
      </w:pPr>
      <w:r>
        <w:rPr>
          <w:rFonts w:ascii="Calibri" w:hAnsi="Calibri"/>
          <w:b/>
          <w:color w:val="525866"/>
          <w:sz w:val="22"/>
        </w:rPr>
        <w:t>Ongoing — Vehicle Repair Market Fundamentals:</w:t>
      </w:r>
      <w:r>
        <w:rPr>
          <w:rFonts w:ascii="Calibri" w:hAnsi="Calibri"/>
          <w:i/>
          <w:color w:val="525866"/>
          <w:sz w:val="22"/>
        </w:rPr>
        <w:t xml:space="preserve"> Average vehicle age reached 12.8 years; household spending on vehicle repairs up high single digits in 1Q26; hours worked and tech wages rising. These secular tailwinds remain intact and support the long-term demand thesis for Snap-on's tools and diagnostics. </w:t>
      </w:r>
      <w:r>
        <w:rPr>
          <w:rFonts w:ascii="Calibri" w:hAnsi="Calibri"/>
          <w:color w:val="525866"/>
          <w:sz w:val="22"/>
        </w:rPr>
        <w:t>Implication: Structural demand backdrop remains favorable regardless of near-term technician confidence fluctuations.</w:t>
      </w:r>
    </w:p>
    <w:p>
      <w:pPr>
        <w:pStyle w:val="ListBullet"/>
        <w:ind w:left="360" w:hanging="360"/>
      </w:pPr>
      <w:r>
        <w:rPr>
          <w:rFonts w:ascii="Calibri" w:hAnsi="Calibri"/>
          <w:b/>
          <w:color w:val="525866"/>
          <w:sz w:val="22"/>
        </w:rPr>
        <w:t>Ongoing — AI/Competitive Risk in Diagnostics:</w:t>
      </w:r>
      <w:r>
        <w:rPr>
          <w:rFonts w:ascii="Calibri" w:hAnsi="Calibri"/>
          <w:i/>
          <w:color w:val="525866"/>
          <w:sz w:val="22"/>
        </w:rPr>
        <w:t xml:space="preserve"> Management made its most candid acknowledgment to date that AI could potentially replicate Snap-on's proprietary repair database in a shorter timeframe than it took to build, using the Perplexity/Bloomberg analogy. Management stated the company must be "prepared for that eventuality" and is investing in LLM capabilities to fortify its competitive moat. </w:t>
      </w:r>
      <w:r>
        <w:rPr>
          <w:rFonts w:ascii="Calibri" w:hAnsi="Calibri"/>
          <w:color w:val="525866"/>
          <w:sz w:val="22"/>
        </w:rPr>
        <w:t>Implication: A longer-term risk to the RS&amp;I software moat that bears monitoring; management's candor is notable but the near-term impact is limited.</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1Q26 earnings date are sales, with the majority executed under pre-established 10b5-1 plans. The CEO's sale of 23,396 shares in early May is the largest transaction by value but was conducted under a 10b5-1 plan. No open-market purchases have been made. The absence of discretionary buying is not alarming given the stock's +23.7% 12-month gain, but the lack of insider buying is worth noting.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Chambers, Timothy L.</w:t>
            </w:r>
          </w:p>
        </w:tc>
        <w:tc>
          <w:tcPr>
            <w:tcW w:type="dxa" w:w="1440"/>
          </w:tcPr>
          <w:p>
            <w:r>
              <w:rPr>
                <w:rFonts w:ascii="Calibri" w:hAnsi="Calibri"/>
                <w:sz w:val="22"/>
              </w:rPr>
              <w:t>Sr. VP &amp; President — Tools</w:t>
            </w:r>
          </w:p>
        </w:tc>
        <w:tc>
          <w:tcPr>
            <w:tcW w:type="dxa" w:w="1440"/>
          </w:tcPr>
          <w:p>
            <w:r>
              <w:rPr>
                <w:rFonts w:ascii="Calibri" w:hAnsi="Calibri"/>
                <w:sz w:val="22"/>
              </w:rPr>
              <w:t>10b5-1 Planned Sale</w:t>
            </w:r>
          </w:p>
        </w:tc>
        <w:tc>
          <w:tcPr>
            <w:tcW w:type="dxa" w:w="1440"/>
          </w:tcPr>
          <w:p>
            <w:r>
              <w:rPr>
                <w:rFonts w:ascii="Calibri" w:hAnsi="Calibri"/>
                <w:sz w:val="22"/>
              </w:rPr>
              <w:t>389 shares</w:t>
            </w:r>
          </w:p>
        </w:tc>
        <w:tc>
          <w:tcPr>
            <w:tcW w:type="dxa" w:w="1440"/>
          </w:tcPr>
          <w:p>
            <w:r>
              <w:rPr>
                <w:rFonts w:ascii="Calibri" w:hAnsi="Calibri"/>
                <w:sz w:val="22"/>
              </w:rPr>
              <w:t>July 17, 2026</w:t>
            </w:r>
          </w:p>
        </w:tc>
        <w:tc>
          <w:tcPr>
            <w:tcW w:type="dxa" w:w="1440"/>
          </w:tcPr>
          <w:p>
            <w:r>
              <w:rPr>
                <w:rFonts w:ascii="Calibri" w:hAnsi="Calibri"/>
                <w:sz w:val="22"/>
              </w:rPr>
              <w:t>Pre-planned; routine 10b5-1 sale; small size</w:t>
            </w:r>
          </w:p>
        </w:tc>
      </w:tr>
      <w:tr>
        <w:tc>
          <w:tcPr>
            <w:tcW w:type="dxa" w:w="1440"/>
          </w:tcPr>
          <w:p>
            <w:r>
              <w:rPr>
                <w:rFonts w:ascii="Calibri" w:hAnsi="Calibri"/>
                <w:sz w:val="22"/>
              </w:rPr>
              <w:t>Miller, Richard Thomas</w:t>
            </w:r>
          </w:p>
        </w:tc>
        <w:tc>
          <w:tcPr>
            <w:tcW w:type="dxa" w:w="1440"/>
          </w:tcPr>
          <w:p>
            <w:r>
              <w:rPr>
                <w:rFonts w:ascii="Calibri" w:hAnsi="Calibri"/>
                <w:sz w:val="22"/>
              </w:rPr>
              <w:t>VP, General Counsel &amp; Secretary</w:t>
            </w:r>
          </w:p>
        </w:tc>
        <w:tc>
          <w:tcPr>
            <w:tcW w:type="dxa" w:w="1440"/>
          </w:tcPr>
          <w:p>
            <w:r>
              <w:rPr>
                <w:rFonts w:ascii="Calibri" w:hAnsi="Calibri"/>
                <w:sz w:val="22"/>
              </w:rPr>
              <w:t>10b5-1 Planned Sale</w:t>
            </w:r>
          </w:p>
        </w:tc>
        <w:tc>
          <w:tcPr>
            <w:tcW w:type="dxa" w:w="1440"/>
          </w:tcPr>
          <w:p>
            <w:r>
              <w:rPr>
                <w:rFonts w:ascii="Calibri" w:hAnsi="Calibri"/>
                <w:sz w:val="22"/>
              </w:rPr>
              <w:t>2,000 shares</w:t>
            </w:r>
          </w:p>
        </w:tc>
        <w:tc>
          <w:tcPr>
            <w:tcW w:type="dxa" w:w="1440"/>
          </w:tcPr>
          <w:p>
            <w:r>
              <w:rPr>
                <w:rFonts w:ascii="Calibri" w:hAnsi="Calibri"/>
                <w:sz w:val="22"/>
              </w:rPr>
              <w:t>July 1, 2026</w:t>
            </w:r>
          </w:p>
        </w:tc>
        <w:tc>
          <w:tcPr>
            <w:tcW w:type="dxa" w:w="1440"/>
          </w:tcPr>
          <w:p>
            <w:r>
              <w:rPr>
                <w:rFonts w:ascii="Calibri" w:hAnsi="Calibri"/>
                <w:sz w:val="22"/>
              </w:rPr>
              <w:t>Pre-planned; routine 10b5-1 sale</w:t>
            </w:r>
          </w:p>
        </w:tc>
      </w:tr>
      <w:tr>
        <w:tc>
          <w:tcPr>
            <w:tcW w:type="dxa" w:w="1440"/>
          </w:tcPr>
          <w:p>
            <w:r>
              <w:rPr>
                <w:rFonts w:ascii="Calibri" w:hAnsi="Calibri"/>
                <w:sz w:val="22"/>
              </w:rPr>
              <w:t>Arregui, Jesus</w:t>
            </w:r>
          </w:p>
        </w:tc>
        <w:tc>
          <w:tcPr>
            <w:tcW w:type="dxa" w:w="1440"/>
          </w:tcPr>
          <w:p>
            <w:r>
              <w:rPr>
                <w:rFonts w:ascii="Calibri" w:hAnsi="Calibri"/>
                <w:sz w:val="22"/>
              </w:rPr>
              <w:t>Sr. VP &amp; President — Commercial</w:t>
            </w:r>
          </w:p>
        </w:tc>
        <w:tc>
          <w:tcPr>
            <w:tcW w:type="dxa" w:w="1440"/>
          </w:tcPr>
          <w:p>
            <w:r>
              <w:rPr>
                <w:rFonts w:ascii="Calibri" w:hAnsi="Calibri"/>
                <w:sz w:val="22"/>
              </w:rPr>
              <w:t>Open Market Sale</w:t>
            </w:r>
          </w:p>
        </w:tc>
        <w:tc>
          <w:tcPr>
            <w:tcW w:type="dxa" w:w="1440"/>
          </w:tcPr>
          <w:p>
            <w:r>
              <w:rPr>
                <w:rFonts w:ascii="Calibri" w:hAnsi="Calibri"/>
                <w:sz w:val="22"/>
              </w:rPr>
              <w:t>4,251 shares</w:t>
            </w:r>
          </w:p>
        </w:tc>
        <w:tc>
          <w:tcPr>
            <w:tcW w:type="dxa" w:w="1440"/>
          </w:tcPr>
          <w:p>
            <w:r>
              <w:rPr>
                <w:rFonts w:ascii="Calibri" w:hAnsi="Calibri"/>
                <w:sz w:val="22"/>
              </w:rPr>
              <w:t>June 10, 2026</w:t>
            </w:r>
          </w:p>
        </w:tc>
        <w:tc>
          <w:tcPr>
            <w:tcW w:type="dxa" w:w="1440"/>
          </w:tcPr>
          <w:p>
            <w:r>
              <w:rPr>
                <w:rFonts w:ascii="Calibri" w:hAnsi="Calibri"/>
                <w:sz w:val="22"/>
              </w:rPr>
              <w:t>Discretionary sale; largest non-CEO open-market sale in the period; no 10b5-1 plan indicated</w:t>
            </w:r>
          </w:p>
        </w:tc>
      </w:tr>
      <w:tr>
        <w:tc>
          <w:tcPr>
            <w:tcW w:type="dxa" w:w="1440"/>
          </w:tcPr>
          <w:p>
            <w:r>
              <w:rPr>
                <w:rFonts w:ascii="Calibri" w:hAnsi="Calibri"/>
                <w:sz w:val="22"/>
              </w:rPr>
              <w:t>Miller, Richard Thomas</w:t>
            </w:r>
          </w:p>
        </w:tc>
        <w:tc>
          <w:tcPr>
            <w:tcW w:type="dxa" w:w="1440"/>
          </w:tcPr>
          <w:p>
            <w:r>
              <w:rPr>
                <w:rFonts w:ascii="Calibri" w:hAnsi="Calibri"/>
                <w:sz w:val="22"/>
              </w:rPr>
              <w:t>VP, General Counsel &amp; Secretary</w:t>
            </w:r>
          </w:p>
        </w:tc>
        <w:tc>
          <w:tcPr>
            <w:tcW w:type="dxa" w:w="1440"/>
          </w:tcPr>
          <w:p>
            <w:r>
              <w:rPr>
                <w:rFonts w:ascii="Calibri" w:hAnsi="Calibri"/>
                <w:sz w:val="22"/>
              </w:rPr>
              <w:t>10b5-1 Planned Sale</w:t>
            </w:r>
          </w:p>
        </w:tc>
        <w:tc>
          <w:tcPr>
            <w:tcW w:type="dxa" w:w="1440"/>
          </w:tcPr>
          <w:p>
            <w:r>
              <w:rPr>
                <w:rFonts w:ascii="Calibri" w:hAnsi="Calibri"/>
                <w:sz w:val="22"/>
              </w:rPr>
              <w:t>427 shares</w:t>
            </w:r>
          </w:p>
        </w:tc>
        <w:tc>
          <w:tcPr>
            <w:tcW w:type="dxa" w:w="1440"/>
          </w:tcPr>
          <w:p>
            <w:r>
              <w:rPr>
                <w:rFonts w:ascii="Calibri" w:hAnsi="Calibri"/>
                <w:sz w:val="22"/>
              </w:rPr>
              <w:t>June 10, 2026</w:t>
            </w:r>
          </w:p>
        </w:tc>
        <w:tc>
          <w:tcPr>
            <w:tcW w:type="dxa" w:w="1440"/>
          </w:tcPr>
          <w:p>
            <w:r>
              <w:rPr>
                <w:rFonts w:ascii="Calibri" w:hAnsi="Calibri"/>
                <w:sz w:val="22"/>
              </w:rPr>
              <w:t>Pre-planned; routine 10b5-1 sale</w:t>
            </w:r>
          </w:p>
        </w:tc>
      </w:tr>
      <w:tr>
        <w:tc>
          <w:tcPr>
            <w:tcW w:type="dxa" w:w="1440"/>
          </w:tcPr>
          <w:p>
            <w:r>
              <w:rPr>
                <w:rFonts w:ascii="Calibri" w:hAnsi="Calibri"/>
                <w:sz w:val="22"/>
              </w:rPr>
              <w:t>Pagliari, Aldo John</w:t>
            </w:r>
          </w:p>
        </w:tc>
        <w:tc>
          <w:tcPr>
            <w:tcW w:type="dxa" w:w="1440"/>
          </w:tcPr>
          <w:p>
            <w:r>
              <w:rPr>
                <w:rFonts w:ascii="Calibri" w:hAnsi="Calibri"/>
                <w:sz w:val="22"/>
              </w:rPr>
              <w:t>Sr. VP — Finance &amp; CFO</w:t>
            </w:r>
          </w:p>
        </w:tc>
        <w:tc>
          <w:tcPr>
            <w:tcW w:type="dxa" w:w="1440"/>
          </w:tcPr>
          <w:p>
            <w:r>
              <w:rPr>
                <w:rFonts w:ascii="Calibri" w:hAnsi="Calibri"/>
                <w:sz w:val="22"/>
              </w:rPr>
              <w:t>Open Market Sale</w:t>
            </w:r>
          </w:p>
        </w:tc>
        <w:tc>
          <w:tcPr>
            <w:tcW w:type="dxa" w:w="1440"/>
          </w:tcPr>
          <w:p>
            <w:r>
              <w:rPr>
                <w:rFonts w:ascii="Calibri" w:hAnsi="Calibri"/>
                <w:sz w:val="22"/>
              </w:rPr>
              <w:t>1,330 shares</w:t>
            </w:r>
          </w:p>
        </w:tc>
        <w:tc>
          <w:tcPr>
            <w:tcW w:type="dxa" w:w="1440"/>
          </w:tcPr>
          <w:p>
            <w:r>
              <w:rPr>
                <w:rFonts w:ascii="Calibri" w:hAnsi="Calibri"/>
                <w:sz w:val="22"/>
              </w:rPr>
              <w:t>June 4, 2026</w:t>
            </w:r>
          </w:p>
        </w:tc>
        <w:tc>
          <w:tcPr>
            <w:tcW w:type="dxa" w:w="1440"/>
          </w:tcPr>
          <w:p>
            <w:r>
              <w:rPr>
                <w:rFonts w:ascii="Calibri" w:hAnsi="Calibri"/>
                <w:sz w:val="22"/>
              </w:rPr>
              <w:t>Discretionary sale by CFO; no 10b5-1 plan indicated</w:t>
            </w:r>
          </w:p>
        </w:tc>
      </w:tr>
      <w:tr>
        <w:tc>
          <w:tcPr>
            <w:tcW w:type="dxa" w:w="1440"/>
          </w:tcPr>
          <w:p>
            <w:r>
              <w:rPr>
                <w:rFonts w:ascii="Calibri" w:hAnsi="Calibri"/>
                <w:sz w:val="22"/>
              </w:rPr>
              <w:t>Pagliari, Aldo John</w:t>
            </w:r>
          </w:p>
        </w:tc>
        <w:tc>
          <w:tcPr>
            <w:tcW w:type="dxa" w:w="1440"/>
          </w:tcPr>
          <w:p>
            <w:r>
              <w:rPr>
                <w:rFonts w:ascii="Calibri" w:hAnsi="Calibri"/>
                <w:sz w:val="22"/>
              </w:rPr>
              <w:t>Sr. VP — Finance &amp; CFO</w:t>
            </w:r>
          </w:p>
        </w:tc>
        <w:tc>
          <w:tcPr>
            <w:tcW w:type="dxa" w:w="1440"/>
          </w:tcPr>
          <w:p>
            <w:r>
              <w:rPr>
                <w:rFonts w:ascii="Calibri" w:hAnsi="Calibri"/>
                <w:sz w:val="22"/>
              </w:rPr>
              <w:t>10b5-1 Planned Sale</w:t>
            </w:r>
          </w:p>
        </w:tc>
        <w:tc>
          <w:tcPr>
            <w:tcW w:type="dxa" w:w="1440"/>
          </w:tcPr>
          <w:p>
            <w:r>
              <w:rPr>
                <w:rFonts w:ascii="Calibri" w:hAnsi="Calibri"/>
                <w:sz w:val="22"/>
              </w:rPr>
              <w:t>5,713 shares</w:t>
            </w:r>
          </w:p>
        </w:tc>
        <w:tc>
          <w:tcPr>
            <w:tcW w:type="dxa" w:w="1440"/>
          </w:tcPr>
          <w:p>
            <w:r>
              <w:rPr>
                <w:rFonts w:ascii="Calibri" w:hAnsi="Calibri"/>
                <w:sz w:val="22"/>
              </w:rPr>
              <w:t>May 14, 2026</w:t>
            </w:r>
          </w:p>
        </w:tc>
        <w:tc>
          <w:tcPr>
            <w:tcW w:type="dxa" w:w="1440"/>
          </w:tcPr>
          <w:p>
            <w:r>
              <w:rPr>
                <w:rFonts w:ascii="Calibri" w:hAnsi="Calibri"/>
                <w:sz w:val="22"/>
              </w:rPr>
              <w:t>Pre-planned; routine 10b5-1 sale</w:t>
            </w:r>
          </w:p>
        </w:tc>
      </w:tr>
      <w:tr>
        <w:tc>
          <w:tcPr>
            <w:tcW w:type="dxa" w:w="1440"/>
          </w:tcPr>
          <w:p>
            <w:r>
              <w:rPr>
                <w:rFonts w:ascii="Calibri" w:hAnsi="Calibri"/>
                <w:sz w:val="22"/>
              </w:rPr>
              <w:t>Pinchuk, Nicholas T.</w:t>
            </w:r>
          </w:p>
        </w:tc>
        <w:tc>
          <w:tcPr>
            <w:tcW w:type="dxa" w:w="1440"/>
          </w:tcPr>
          <w:p>
            <w:r>
              <w:rPr>
                <w:rFonts w:ascii="Calibri" w:hAnsi="Calibri"/>
                <w:sz w:val="22"/>
              </w:rPr>
              <w:t>Chairman, President &amp; CEO</w:t>
            </w:r>
          </w:p>
        </w:tc>
        <w:tc>
          <w:tcPr>
            <w:tcW w:type="dxa" w:w="1440"/>
          </w:tcPr>
          <w:p>
            <w:r>
              <w:rPr>
                <w:rFonts w:ascii="Calibri" w:hAnsi="Calibri"/>
                <w:sz w:val="22"/>
              </w:rPr>
              <w:t>10b5-1 Planned Sale</w:t>
            </w:r>
          </w:p>
        </w:tc>
        <w:tc>
          <w:tcPr>
            <w:tcW w:type="dxa" w:w="1440"/>
          </w:tcPr>
          <w:p>
            <w:r>
              <w:rPr>
                <w:rFonts w:ascii="Calibri" w:hAnsi="Calibri"/>
                <w:sz w:val="22"/>
              </w:rPr>
              <w:t>23,396 shares</w:t>
            </w:r>
          </w:p>
        </w:tc>
        <w:tc>
          <w:tcPr>
            <w:tcW w:type="dxa" w:w="1440"/>
          </w:tcPr>
          <w:p>
            <w:r>
              <w:rPr>
                <w:rFonts w:ascii="Calibri" w:hAnsi="Calibri"/>
                <w:sz w:val="22"/>
              </w:rPr>
              <w:t>May 5, 2026</w:t>
            </w:r>
          </w:p>
        </w:tc>
        <w:tc>
          <w:tcPr>
            <w:tcW w:type="dxa" w:w="1440"/>
          </w:tcPr>
          <w:p>
            <w:r>
              <w:rPr>
                <w:rFonts w:ascii="Calibri" w:hAnsi="Calibri"/>
                <w:sz w:val="22"/>
              </w:rPr>
              <w:t>Largest transaction by share count; pre-planned 10b5-1; routine for CEO given compensation structure</w:t>
            </w:r>
          </w:p>
        </w:tc>
      </w:tr>
    </w:tbl>
    <w:p>
      <w:r>
        <w:rPr>
          <w:rFonts w:ascii="Calibri" w:hAnsi="Calibri"/>
          <w:color w:val="525866"/>
          <w:sz w:val="22"/>
        </w:rPr>
        <w:t>The most notable transaction is the discretionary open-market sale by Jesus Arregui (Sr. VP &amp; President — Commercial) of 4,251 shares on June 10, 2026, which was not conducted under a 10b5-1 plan. The CFO's discretionary sale of 1,330 shares on June 4 is also worth noting. While neither sale is alarming in isolation, the combination of two discretionary sales by senior executives in early June — when the stock was trading in the $378-$380 range — is a mild negative signal. All other transactions were pre-planned 10b5-1 sales. Source: SEC Form 4 Filings.</w:t>
      </w:r>
    </w:p>
    <w:p>
      <w:r>
        <w:br w:type="page"/>
      </w:r>
    </w:p>
    <w:p>
      <w:pPr>
        <w:pStyle w:val="Heading2"/>
      </w:pPr>
      <w:r>
        <w:rPr>
          <w:rFonts w:ascii="Calibri" w:hAnsi="Calibri"/>
          <w:b/>
          <w:color w:val="3B4259"/>
          <w:sz w:val="28"/>
        </w:rPr>
        <w:t>9. Catalysts &amp; Risks</w:t>
      </w:r>
    </w:p>
    <w:p>
      <w:pPr>
        <w:pStyle w:val="Heading3"/>
      </w:pPr>
      <w:r>
        <w:rPr>
          <w:rFonts w:ascii="Calibri" w:hAnsi="Calibri"/>
          <w:b/>
          <w:color w:val="3B4259"/>
          <w:sz w:val="24"/>
        </w:rPr>
        <w:t>Bull Case Catalysts</w:t>
      </w:r>
    </w:p>
    <w:p>
      <w:pPr>
        <w:pStyle w:val="ListBullet"/>
        <w:ind w:left="360" w:hanging="360"/>
      </w:pPr>
      <w:r>
        <w:rPr>
          <w:rFonts w:ascii="Calibri" w:hAnsi="Calibri"/>
          <w:b/>
          <w:color w:val="525866"/>
          <w:sz w:val="22"/>
        </w:rPr>
        <w:t>Tool Storage Recovery Confirmation:</w:t>
      </w:r>
      <w:r>
        <w:rPr>
          <w:rFonts w:ascii="Calibri" w:hAnsi="Calibri"/>
          <w:color w:val="525866"/>
          <w:sz w:val="22"/>
        </w:rPr>
        <w:t xml:space="preserve"> If tool storage units remained positive year-over-year in 2Q26 (as they were in 1Q26 for the first time in an extended period), this would confirm the "early thaw" narrative and likely drive meaningful upside to Tools Group estimates. Tool storage is the highest-ticket item in the van channel and the most sensitive indicator of technician confidence.</w:t>
      </w:r>
    </w:p>
    <w:p>
      <w:pPr>
        <w:pStyle w:val="ListBullet"/>
        <w:ind w:left="360" w:hanging="360"/>
      </w:pPr>
      <w:r>
        <w:rPr>
          <w:rFonts w:ascii="Calibri" w:hAnsi="Calibri"/>
          <w:b/>
          <w:color w:val="525866"/>
          <w:sz w:val="22"/>
        </w:rPr>
        <w:t>Apollo Diagnostic Launch Traction:</w:t>
      </w:r>
      <w:r>
        <w:rPr>
          <w:rFonts w:ascii="Calibri" w:hAnsi="Calibri"/>
          <w:color w:val="525866"/>
          <w:sz w:val="22"/>
        </w:rPr>
        <w:t xml:space="preserve"> The Apollo scan tool launched in early May 2026 targeting the middle market. Any commentary indicating strong initial sell-through would address the 1Q26 diagnostics weakness and provide a new product cycle catalyst for the Tools Group.</w:t>
      </w:r>
    </w:p>
    <w:p>
      <w:pPr>
        <w:pStyle w:val="ListBullet"/>
        <w:ind w:left="360" w:hanging="360"/>
      </w:pPr>
      <w:r>
        <w:rPr>
          <w:rFonts w:ascii="Calibri" w:hAnsi="Calibri"/>
          <w:b/>
          <w:color w:val="525866"/>
          <w:sz w:val="22"/>
        </w:rPr>
        <w:t>Originations Stabilization or Recovery:</w:t>
      </w:r>
      <w:r>
        <w:rPr>
          <w:rFonts w:ascii="Calibri" w:hAnsi="Calibri"/>
          <w:color w:val="525866"/>
          <w:sz w:val="22"/>
        </w:rPr>
        <w:t xml:space="preserve"> Originations declined 1.5% YoY in 1Q26 after being flat in 4Q25. Any sequential improvement or return to flat/positive YoY growth would be a meaningful positive signal for the Financial Services portfolio and technician demand confidence.</w:t>
      </w:r>
    </w:p>
    <w:p>
      <w:pPr>
        <w:pStyle w:val="ListBullet"/>
        <w:ind w:left="360" w:hanging="360"/>
      </w:pPr>
      <w:r>
        <w:rPr>
          <w:rFonts w:ascii="Calibri" w:hAnsi="Calibri"/>
          <w:b/>
          <w:color w:val="525866"/>
          <w:sz w:val="22"/>
        </w:rPr>
        <w:t>C&amp;I Critical Industries Momentum:</w:t>
      </w:r>
      <w:r>
        <w:rPr>
          <w:rFonts w:ascii="Calibri" w:hAnsi="Calibri"/>
          <w:color w:val="525866"/>
          <w:sz w:val="22"/>
        </w:rPr>
        <w:t xml:space="preserve"> Management described critical industries at their highest level in nearly two years at the May 6 Oppenheimer conference. If 2Q26 results confirm this trajectory — particularly in aviation, heavy-duty, and data center tooling — C&amp;I could deliver another quarter of double-digit growth.</w:t>
      </w:r>
    </w:p>
    <w:p>
      <w:pPr>
        <w:pStyle w:val="ListBullet"/>
        <w:ind w:left="360" w:hanging="360"/>
      </w:pPr>
      <w:r>
        <w:rPr>
          <w:rFonts w:ascii="Calibri" w:hAnsi="Calibri"/>
          <w:b/>
          <w:color w:val="525866"/>
          <w:sz w:val="22"/>
        </w:rPr>
        <w:t>Tariff Lapping Benefit:</w:t>
      </w:r>
      <w:r>
        <w:rPr>
          <w:rFonts w:ascii="Calibri" w:hAnsi="Calibri"/>
          <w:color w:val="525866"/>
          <w:sz w:val="22"/>
        </w:rPr>
        <w:t xml:space="preserve"> Q2 2026 is the first quarter where prior-year tariff headwinds begin to lap, providing easier year-over-year cost comparisons. If gross margins expand meaningfully in 2Q26, it would validate management's tariff lapping thesis and support the margin recovery narrative.</w:t>
      </w:r>
    </w:p>
    <w:p>
      <w:pPr>
        <w:pStyle w:val="ListBullet"/>
        <w:ind w:left="360" w:hanging="360"/>
      </w:pPr>
      <w:r>
        <w:rPr>
          <w:rFonts w:ascii="Calibri" w:hAnsi="Calibri"/>
          <w:b/>
          <w:color w:val="525866"/>
          <w:sz w:val="22"/>
        </w:rPr>
        <w:t>Franchisee Inventory Health:</w:t>
      </w:r>
      <w:r>
        <w:rPr>
          <w:rFonts w:ascii="Calibri" w:hAnsi="Calibri"/>
          <w:color w:val="525866"/>
          <w:sz w:val="22"/>
        </w:rPr>
        <w:t xml:space="preserve"> Sell-through has exceeded sell-in for the past couple of quarters, leaving franchisees in a better inventory position. This creates a healthier foundation for accelerating sell-in as demand recovers.</w:t>
      </w:r>
    </w:p>
    <w:p>
      <w:pPr>
        <w:pStyle w:val="Heading3"/>
      </w:pPr>
      <w:r>
        <w:rPr>
          <w:rFonts w:ascii="Calibri" w:hAnsi="Calibri"/>
          <w:b/>
          <w:color w:val="3B4259"/>
          <w:sz w:val="24"/>
        </w:rPr>
        <w:t>Bear Case Risks</w:t>
      </w:r>
    </w:p>
    <w:p>
      <w:pPr>
        <w:pStyle w:val="ListBullet"/>
        <w:ind w:left="360" w:hanging="360"/>
      </w:pPr>
      <w:r>
        <w:rPr>
          <w:rFonts w:ascii="Calibri" w:hAnsi="Calibri"/>
          <w:b/>
          <w:color w:val="525866"/>
          <w:sz w:val="22"/>
        </w:rPr>
        <w:t>Originations Deterioration:</w:t>
      </w:r>
      <w:r>
        <w:rPr>
          <w:rFonts w:ascii="Calibri" w:hAnsi="Calibri"/>
          <w:color w:val="525866"/>
          <w:sz w:val="22"/>
        </w:rPr>
        <w:t xml:space="preserve"> If originations declined further in 2Q26 (beyond the 1.5% YoY decline in 1Q26), it would signal that technician confidence has not improved and the "early thaw" narrative was premature. This is the single biggest downside risk.</w:t>
      </w:r>
    </w:p>
    <w:p>
      <w:pPr>
        <w:pStyle w:val="ListBullet"/>
        <w:ind w:left="360" w:hanging="360"/>
      </w:pPr>
      <w:r>
        <w:rPr>
          <w:rFonts w:ascii="Calibri" w:hAnsi="Calibri"/>
          <w:b/>
          <w:color w:val="525866"/>
          <w:sz w:val="22"/>
        </w:rPr>
        <w:t>Diagnostics Comparison Headwind:</w:t>
      </w:r>
      <w:r>
        <w:rPr>
          <w:rFonts w:ascii="Calibri" w:hAnsi="Calibri"/>
          <w:color w:val="525866"/>
          <w:sz w:val="22"/>
        </w:rPr>
        <w:t xml:space="preserve"> Management explicitly flagged that 2Q26 faces "tougher comparisons" for diagnostics due to a significant product launch in 2Q25. If the Apollo launch has not yet ramped sufficiently to offset these comparisons, Tools Group revenue could disappoint.</w:t>
      </w:r>
    </w:p>
    <w:p>
      <w:pPr>
        <w:pStyle w:val="ListBullet"/>
        <w:ind w:left="360" w:hanging="360"/>
      </w:pPr>
      <w:r>
        <w:rPr>
          <w:rFonts w:ascii="Calibri" w:hAnsi="Calibri"/>
          <w:b/>
          <w:color w:val="525866"/>
          <w:sz w:val="22"/>
        </w:rPr>
        <w:t>OEM Dealership Softness in RS&amp;I:</w:t>
      </w:r>
      <w:r>
        <w:rPr>
          <w:rFonts w:ascii="Calibri" w:hAnsi="Calibri"/>
          <w:color w:val="525866"/>
          <w:sz w:val="22"/>
        </w:rPr>
        <w:t xml:space="preserve"> RS&amp;I margin compressed 110 bps in 1Q26 due to lower OEM dealership activity and currency headwinds. If OEM dealership softness persists in 2Q26, RS&amp;I margins could remain under pressure, weighing on consolidated operating margins.</w:t>
      </w:r>
    </w:p>
    <w:p>
      <w:pPr>
        <w:pStyle w:val="ListBullet"/>
        <w:ind w:left="360" w:hanging="360"/>
      </w:pPr>
      <w:r>
        <w:rPr>
          <w:rFonts w:ascii="Calibri" w:hAnsi="Calibri"/>
          <w:b/>
          <w:color w:val="525866"/>
          <w:sz w:val="22"/>
        </w:rPr>
        <w:t>Currency Headwinds:</w:t>
      </w:r>
      <w:r>
        <w:rPr>
          <w:rFonts w:ascii="Calibri" w:hAnsi="Calibri"/>
          <w:color w:val="525866"/>
          <w:sz w:val="22"/>
        </w:rPr>
        <w:t xml:space="preserve"> Unfavorable foreign currency effects impacted 1Q26 operating margins by 40 bps consolidated (50 bps in C&amp;I, 60 bps in RS&amp;I). If the dollar remains strong, currency could continue to be a headwind in 2Q26.</w:t>
      </w:r>
    </w:p>
    <w:p>
      <w:pPr>
        <w:pStyle w:val="ListBullet"/>
        <w:ind w:left="360" w:hanging="360"/>
      </w:pPr>
      <w:r>
        <w:rPr>
          <w:rFonts w:ascii="Calibri" w:hAnsi="Calibri"/>
          <w:b/>
          <w:color w:val="525866"/>
          <w:sz w:val="22"/>
        </w:rPr>
        <w:t>Macro Uncertainty / Geopolitical Events:</w:t>
      </w:r>
      <w:r>
        <w:rPr>
          <w:rFonts w:ascii="Calibri" w:hAnsi="Calibri"/>
          <w:color w:val="525866"/>
          <w:sz w:val="22"/>
        </w:rPr>
        <w:t xml:space="preserve"> Management noted that "the last month had some pretty significant geopolitical events" at the time of the 1Q26 call. Ongoing geopolitical uncertainty (Iran conflict, trade tensions) could weigh on technician confidence and defer big-ticket purchases.</w:t>
      </w:r>
    </w:p>
    <w:p>
      <w:pPr>
        <w:pStyle w:val="ListBullet"/>
        <w:ind w:left="360" w:hanging="360"/>
      </w:pPr>
      <w:r>
        <w:rPr>
          <w:rFonts w:ascii="Calibri" w:hAnsi="Calibri"/>
          <w:b/>
          <w:color w:val="525866"/>
          <w:sz w:val="22"/>
        </w:rPr>
        <w:t>AI Disruption Risk to RS&amp;I Moat:</w:t>
      </w:r>
      <w:r>
        <w:rPr>
          <w:rFonts w:ascii="Calibri" w:hAnsi="Calibri"/>
          <w:color w:val="525866"/>
          <w:sz w:val="22"/>
        </w:rPr>
        <w:t xml:space="preserve"> Management's candid acknowledgment that AI could replicate Snap-on's proprietary repair database is a longer-term risk to the RS&amp;I software moat. While not a near-term earnings risk, it could weigh on the multiple if the market begins to discount the durability of the RS&amp;I competitive advantage.</w:t>
      </w:r>
    </w:p>
    <w:p>
      <w:pPr>
        <w:pStyle w:val="Heading2"/>
      </w:pPr>
      <w:r>
        <w:rPr>
          <w:rFonts w:ascii="Calibri" w:hAnsi="Calibri"/>
          <w:b/>
          <w:color w:val="3B4259"/>
          <w:sz w:val="28"/>
        </w:rPr>
        <w:t>10. Key Questions for the Earnings Call</w:t>
      </w:r>
    </w:p>
    <w:p>
      <w:pPr>
        <w:pStyle w:val="ListNumber"/>
        <w:ind w:left="360" w:hanging="360"/>
      </w:pPr>
      <w:r>
        <w:rPr>
          <w:rFonts w:ascii="Calibri" w:hAnsi="Calibri"/>
          <w:b/>
          <w:color w:val="525866"/>
          <w:sz w:val="22"/>
        </w:rPr>
        <w:t>Originations trajectory:</w:t>
      </w:r>
      <w:r>
        <w:rPr>
          <w:rFonts w:ascii="Calibri" w:hAnsi="Calibri"/>
          <w:color w:val="525866"/>
          <w:sz w:val="22"/>
        </w:rPr>
        <w:t xml:space="preserve"> Did loan originations stabilize or improve in 2Q26 after the 1.5% YoY decline in 1Q26? What is the delinquency rate trend?</w:t>
      </w:r>
    </w:p>
    <w:p>
      <w:pPr>
        <w:pStyle w:val="ListNumber"/>
        <w:ind w:left="360" w:hanging="360"/>
      </w:pPr>
      <w:r>
        <w:rPr>
          <w:rFonts w:ascii="Calibri" w:hAnsi="Calibri"/>
          <w:b/>
          <w:color w:val="525866"/>
          <w:sz w:val="22"/>
        </w:rPr>
        <w:t>Tool storage momentum:</w:t>
      </w:r>
      <w:r>
        <w:rPr>
          <w:rFonts w:ascii="Calibri" w:hAnsi="Calibri"/>
          <w:color w:val="525866"/>
          <w:sz w:val="22"/>
        </w:rPr>
        <w:t xml:space="preserve"> Did tool storage units remain positive year-over-year in 2Q26? Is the "early thaw" in technician confidence continuing or has it stalled?</w:t>
      </w:r>
    </w:p>
    <w:p>
      <w:pPr>
        <w:pStyle w:val="ListNumber"/>
        <w:ind w:left="360" w:hanging="360"/>
      </w:pPr>
      <w:r>
        <w:rPr>
          <w:rFonts w:ascii="Calibri" w:hAnsi="Calibri"/>
          <w:b/>
          <w:color w:val="525866"/>
          <w:sz w:val="22"/>
        </w:rPr>
        <w:t>Apollo diagnostic launch:</w:t>
      </w:r>
      <w:r>
        <w:rPr>
          <w:rFonts w:ascii="Calibri" w:hAnsi="Calibri"/>
          <w:color w:val="525866"/>
          <w:sz w:val="22"/>
        </w:rPr>
        <w:t xml:space="preserve"> How has the Apollo scan tool been received since its early May launch? Is it driving incremental diagnostics revenue or cannibalizing existing products?</w:t>
      </w:r>
    </w:p>
    <w:p>
      <w:pPr>
        <w:pStyle w:val="ListNumber"/>
        <w:ind w:left="360" w:hanging="360"/>
      </w:pPr>
      <w:r>
        <w:rPr>
          <w:rFonts w:ascii="Calibri" w:hAnsi="Calibri"/>
          <w:b/>
          <w:color w:val="525866"/>
          <w:sz w:val="22"/>
        </w:rPr>
        <w:t>RS&amp;I OEM dealership outlook:</w:t>
      </w:r>
      <w:r>
        <w:rPr>
          <w:rFonts w:ascii="Calibri" w:hAnsi="Calibri"/>
          <w:color w:val="525866"/>
          <w:sz w:val="22"/>
        </w:rPr>
        <w:t xml:space="preserve"> Has OEM dealership activity stabilized? What is the pipeline of OEM programs for 2H26?</w:t>
      </w:r>
    </w:p>
    <w:p>
      <w:pPr>
        <w:pStyle w:val="ListNumber"/>
        <w:ind w:left="360" w:hanging="360"/>
      </w:pPr>
      <w:r>
        <w:rPr>
          <w:rFonts w:ascii="Calibri" w:hAnsi="Calibri"/>
          <w:b/>
          <w:color w:val="525866"/>
          <w:sz w:val="22"/>
        </w:rPr>
        <w:t>Tariff lapping benefit:</w:t>
      </w:r>
      <w:r>
        <w:rPr>
          <w:rFonts w:ascii="Calibri" w:hAnsi="Calibri"/>
          <w:color w:val="525866"/>
          <w:sz w:val="22"/>
        </w:rPr>
        <w:t xml:space="preserve"> How much of a gross margin tailwind did tariff lapping provide in 2Q26? Is the benefit tracking management's expectations?</w:t>
      </w:r>
    </w:p>
    <w:p>
      <w:pPr>
        <w:pStyle w:val="ListNumber"/>
        <w:ind w:left="360" w:hanging="360"/>
      </w:pPr>
      <w:r>
        <w:rPr>
          <w:rFonts w:ascii="Calibri" w:hAnsi="Calibri"/>
          <w:b/>
          <w:color w:val="525866"/>
          <w:sz w:val="22"/>
        </w:rPr>
        <w:t>C&amp;I critical industries sustainability:</w:t>
      </w:r>
      <w:r>
        <w:rPr>
          <w:rFonts w:ascii="Calibri" w:hAnsi="Calibri"/>
          <w:color w:val="525866"/>
          <w:sz w:val="22"/>
        </w:rPr>
        <w:t xml:space="preserve"> Can the critical industries momentum (highest level in nearly two years per May 6 conference) be sustained in 2H26? What is the military outlook?</w:t>
      </w:r>
    </w:p>
    <w:p>
      <w:pPr>
        <w:pStyle w:val="ListNumber"/>
        <w:ind w:left="360" w:hanging="360"/>
      </w:pPr>
      <w:r>
        <w:rPr>
          <w:rFonts w:ascii="Calibri" w:hAnsi="Calibri"/>
          <w:b/>
          <w:color w:val="525866"/>
          <w:sz w:val="22"/>
        </w:rPr>
        <w:t>Currency impact:</w:t>
      </w:r>
      <w:r>
        <w:rPr>
          <w:rFonts w:ascii="Calibri" w:hAnsi="Calibri"/>
          <w:color w:val="525866"/>
          <w:sz w:val="22"/>
        </w:rPr>
        <w:t xml:space="preserve"> What is the expected currency headwind for 2H26 given current exchange rates?</w:t>
      </w:r>
    </w:p>
    <w:p>
      <w:pPr>
        <w:pStyle w:val="ListNumber"/>
        <w:ind w:left="360" w:hanging="360"/>
      </w:pPr>
      <w:r>
        <w:rPr>
          <w:rFonts w:ascii="Calibri" w:hAnsi="Calibri"/>
          <w:b/>
          <w:color w:val="525866"/>
          <w:sz w:val="22"/>
        </w:rPr>
        <w:t>Capital allocation:</w:t>
      </w:r>
      <w:r>
        <w:rPr>
          <w:rFonts w:ascii="Calibri" w:hAnsi="Calibri"/>
          <w:color w:val="525866"/>
          <w:sz w:val="22"/>
        </w:rPr>
        <w:t xml:space="preserve"> With $234.1M remaining in share repurchase authorization and $1.75B in cash, what is the capital allocation priority for 2H26?</w:t>
      </w:r>
    </w:p>
    <w:p>
      <w:pPr>
        <w:pStyle w:val="Heading2"/>
      </w:pPr>
      <w:r>
        <w:rPr>
          <w:rFonts w:ascii="Calibri" w:hAnsi="Calibri"/>
          <w:b/>
          <w:color w:val="3B4259"/>
          <w:sz w:val="28"/>
        </w:rPr>
        <w:t>Disclosures &amp; Data Sources</w:t>
      </w:r>
    </w:p>
    <w:p>
      <w:r>
        <w:rPr>
          <w:rFonts w:ascii="Calibri" w:hAnsi="Calibri"/>
          <w:color w:val="525866"/>
          <w:sz w:val="22"/>
        </w:rPr>
        <w:t>Consensus estimates and actuals sourced from Visible Alpha (https://insights.visiblealpha.com/mex/SNA_US/NMV/IS and /RV and /SG). Stock price data sourced from Yahoo Finance. Insider transaction data sourced from SEC Form 4 filings (https://www.sec.gov/). Peer commentary sourced from GPC 2Q26 Earnings Call Transcript and Earnings Release (July 21, 2026), TTC 2Q26 Earnings Call Transcript (June 4, 2026), and VMI 2Q26 Earnings Call Transcript and Earnings Release (July 21, 2026). SNA company data sourced from the 1Q26 Earnings Call Transcript (April 23, 2026), 1Q26 Earnings Release (April 23, 2026), and Oppenheimer Industrial Growth Conference Transcript (May 6, 2026). 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