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Steel Dynamics, Inc. (STLD)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Steel Dynamics, Inc.</w:t>
            </w:r>
          </w:p>
        </w:tc>
      </w:tr>
      <w:tr>
        <w:tc>
          <w:tcPr>
            <w:tcW w:type="dxa" w:w="4320"/>
          </w:tcPr>
          <w:p>
            <w:r>
              <w:rPr>
                <w:rFonts w:ascii="Calibri" w:hAnsi="Calibri"/>
                <w:b/>
                <w:sz w:val="22"/>
              </w:rPr>
              <w:t>Ticker</w:t>
            </w:r>
          </w:p>
        </w:tc>
        <w:tc>
          <w:tcPr>
            <w:tcW w:type="dxa" w:w="4320"/>
          </w:tcPr>
          <w:p>
            <w:r>
              <w:rPr>
                <w:rFonts w:ascii="Calibri" w:hAnsi="Calibri"/>
                <w:sz w:val="22"/>
              </w:rPr>
              <w:t>STLD (NASDAQ)</w:t>
            </w:r>
          </w:p>
        </w:tc>
      </w:tr>
      <w:tr>
        <w:tc>
          <w:tcPr>
            <w:tcW w:type="dxa" w:w="4320"/>
          </w:tcPr>
          <w:p>
            <w:r>
              <w:rPr>
                <w:rFonts w:ascii="Calibri" w:hAnsi="Calibri"/>
                <w:b/>
                <w:sz w:val="22"/>
              </w:rPr>
              <w:t>Upcoming Earnings Date</w:t>
            </w:r>
          </w:p>
        </w:tc>
        <w:tc>
          <w:tcPr>
            <w:tcW w:type="dxa" w:w="4320"/>
          </w:tcPr>
          <w:p>
            <w:r>
              <w:rPr>
                <w:rFonts w:ascii="Calibri" w:hAnsi="Calibri"/>
                <w:sz w:val="22"/>
              </w:rPr>
              <w:t>After market close, Monday, July 20, 2026; Conference call Tuesday, July 21, 2026 at 11:00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 Date</w:t>
            </w:r>
          </w:p>
        </w:tc>
        <w:tc>
          <w:tcPr>
            <w:tcW w:type="dxa" w:w="4320"/>
          </w:tcPr>
          <w:p>
            <w:r>
              <w:rPr>
                <w:rFonts w:ascii="Calibri" w:hAnsi="Calibri"/>
                <w:sz w:val="22"/>
              </w:rPr>
              <w:t>July 19,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Q2 setup is a </w:t>
      </w:r>
      <w:r>
        <w:rPr>
          <w:rFonts w:ascii="Calibri" w:hAnsi="Calibri"/>
          <w:b/>
          <w:color w:val="525866"/>
          <w:sz w:val="22"/>
        </w:rPr>
        <w:t>modest beat-or-in-line</w:t>
      </w:r>
      <w:r>
        <w:rPr>
          <w:rFonts w:ascii="Calibri" w:hAnsi="Calibri"/>
          <w:color w:val="525866"/>
          <w:sz w:val="22"/>
        </w:rPr>
        <w:t xml:space="preserve"> scenario — consensus at ~$3.64 operating diluted EPS sits above management's own June 17 pre-announced guidance midpoint of $3.53, but the bar was already cut ~10% from the post-Q1 peak, and the peer read-through on steel pricing is broadly constructive; the </w:t>
      </w:r>
      <w:r>
        <w:rPr>
          <w:rFonts w:ascii="Calibri" w:hAnsi="Calibri"/>
          <w:b/>
          <w:color w:val="525866"/>
          <w:sz w:val="22"/>
        </w:rPr>
        <w:t>wildcard is aluminum EBITDA</w:t>
      </w:r>
      <w:r>
        <w:rPr>
          <w:rFonts w:ascii="Calibri" w:hAnsi="Calibri"/>
          <w:color w:val="525866"/>
          <w:sz w:val="22"/>
        </w:rPr>
        <w:t xml:space="preserve"> and whether management formally revises its through-cycle targets upward.</w:t>
      </w:r>
    </w:p>
    <w:p>
      <w:r>
        <w:rPr>
          <w:rFonts w:ascii="Calibri" w:hAnsi="Calibri"/>
          <w:color w:val="525866"/>
          <w:sz w:val="22"/>
        </w:rPr>
        <w:t xml:space="preserve">Heading into the Q2 2026 print, the </w:t>
      </w:r>
      <w:r>
        <w:rPr>
          <w:rFonts w:ascii="Calibri" w:hAnsi="Calibri"/>
          <w:b/>
          <w:color w:val="525866"/>
          <w:sz w:val="22"/>
        </w:rPr>
        <w:t>consensus bar is a slightly high bar relative to management's own guidance</w:t>
      </w:r>
      <w:r>
        <w:rPr>
          <w:rFonts w:ascii="Calibri" w:hAnsi="Calibri"/>
          <w:color w:val="525866"/>
          <w:sz w:val="22"/>
        </w:rPr>
        <w:t xml:space="preserve">: the Street's ~$3.64 operating diluted EPS estimate sits roughly +2.9% above the $3.53 midpoint of STLD's June 17 pre-announced guidance range of $3.51–$3.55 per diluted share, though that gap is modest and the pre-announcement itself already triggered a sharp reset — Q2 EPS estimates were cut ~10% from the ~$4.06 level that prevailed just five days after the Q1 print. </w:t>
      </w:r>
      <w:r>
        <w:rPr>
          <w:rFonts w:ascii="Calibri" w:hAnsi="Calibri"/>
          <w:b/>
          <w:color w:val="525866"/>
          <w:sz w:val="22"/>
        </w:rPr>
        <w:t>Management's tone has shifted constructively on steel</w:t>
      </w:r>
      <w:r>
        <w:rPr>
          <w:rFonts w:ascii="Calibri" w:hAnsi="Calibri"/>
          <w:color w:val="525866"/>
          <w:sz w:val="22"/>
        </w:rPr>
        <w:t xml:space="preserve">: record Q1 shipments, rising realized prices, and tightening imports all point to a strong steel segment, while aluminum operations are recovering from the January quality setback and management has signaled that current aluminum spreads are </w:t>
      </w:r>
      <w:r>
        <w:rPr>
          <w:rFonts w:ascii="Calibri" w:hAnsi="Calibri"/>
          <w:b/>
          <w:color w:val="525866"/>
          <w:sz w:val="22"/>
        </w:rPr>
        <w:t>structurally above their through-cycle model assumptions</w:t>
      </w:r>
      <w:r>
        <w:rPr>
          <w:rFonts w:ascii="Calibri" w:hAnsi="Calibri"/>
          <w:color w:val="525866"/>
          <w:sz w:val="22"/>
        </w:rPr>
        <w:t xml:space="preserve"> — a potential catalyst for an upward revision to through-cycle EBITDA targets. </w:t>
      </w:r>
      <w:r>
        <w:rPr>
          <w:rFonts w:ascii="Calibri" w:hAnsi="Calibri"/>
          <w:b/>
          <w:color w:val="525866"/>
          <w:sz w:val="22"/>
        </w:rPr>
        <w:t>Estimate trajectory is bifurcated</w:t>
      </w:r>
      <w:r>
        <w:rPr>
          <w:rFonts w:ascii="Calibri" w:hAnsi="Calibri"/>
          <w:color w:val="525866"/>
          <w:sz w:val="22"/>
        </w:rPr>
        <w:t xml:space="preserve">: Q2 EPS was cut hard on the June guide, but FY2026 EPS estimates have risen ~+9.5% to ~$16.48 since the Q1 print, reflecting the market looking through a softer Q2 to a stronger H2 on rising steel prices and the aluminum ramp. </w:t>
      </w:r>
      <w:r>
        <w:rPr>
          <w:rFonts w:ascii="Calibri" w:hAnsi="Calibri"/>
          <w:b/>
          <w:color w:val="525866"/>
          <w:sz w:val="22"/>
        </w:rPr>
        <w:t>The stock has already partially priced in the reset</w:t>
      </w:r>
      <w:r>
        <w:rPr>
          <w:rFonts w:ascii="Calibri" w:hAnsi="Calibri"/>
          <w:color w:val="525866"/>
          <w:sz w:val="22"/>
        </w:rPr>
        <w:t xml:space="preserve">: STLD rallied ~+35% from the Q1 print to a peak of ~$283 in early June, then gave back most of those gains on the June 17 below-consensus guide, and now sits ~+12.5% since Q1 earnings — still outperforming the steel ETF (SLX, slightly negative over the same period) and roughly in line with the S&amp;P 500, suggesting the multiple is not stretched heading into the print. The </w:t>
      </w:r>
      <w:r>
        <w:rPr>
          <w:rFonts w:ascii="Calibri" w:hAnsi="Calibri"/>
          <w:b/>
          <w:color w:val="525866"/>
          <w:sz w:val="22"/>
        </w:rPr>
        <w:t>key wildcard</w:t>
      </w:r>
      <w:r>
        <w:rPr>
          <w:rFonts w:ascii="Calibri" w:hAnsi="Calibri"/>
          <w:color w:val="525866"/>
          <w:sz w:val="22"/>
        </w:rPr>
        <w:t xml:space="preserve"> is the aluminum segment: any formal upward revision to through-cycle aluminum EBITDA targets — which management hinted at on the Q1 call — would be a meaningful positive re-rating catalyst, while a slower-than-expected aluminum ramp or further quality issues would be the primary downside risk.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slightly high bar vs. management's own guidance</w:t>
      </w:r>
      <w:r>
        <w:rPr>
          <w:rFonts w:ascii="Calibri" w:hAnsi="Calibri"/>
          <w:color w:val="525866"/>
          <w:sz w:val="22"/>
        </w:rPr>
        <w:t xml:space="preserve"> on EPS (~+2.9% above the $3.53 midpoint), but the bar was already reset ~10% lower post-Q1; the </w:t>
      </w:r>
      <w:r>
        <w:rPr>
          <w:rFonts w:ascii="Calibri" w:hAnsi="Calibri"/>
          <w:b/>
          <w:color w:val="525866"/>
          <w:sz w:val="22"/>
        </w:rPr>
        <w:t>bigger swing factor is steel realized pricing and aluminum EBITDA</w:t>
      </w:r>
      <w:r>
        <w:rPr>
          <w:rFonts w:ascii="Calibri" w:hAnsi="Calibri"/>
          <w:color w:val="525866"/>
          <w:sz w:val="22"/>
        </w:rPr>
        <w:t>, where peer commentary is constructive and management has signaled upside potential.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Consensus Estimate (Q2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Diluted EPS ($)</w:t>
            </w:r>
          </w:p>
        </w:tc>
        <w:tc>
          <w:tcPr>
            <w:tcW w:type="dxa" w:w="1234"/>
          </w:tcPr>
          <w:p>
            <w:r>
              <w:rPr>
                <w:rFonts w:ascii="Calibri" w:hAnsi="Calibri"/>
                <w:sz w:val="22"/>
              </w:rPr>
              <w:t>$2.78</w:t>
            </w:r>
          </w:p>
        </w:tc>
        <w:tc>
          <w:tcPr>
            <w:tcW w:type="dxa" w:w="1234"/>
          </w:tcPr>
          <w:p>
            <w:r>
              <w:rPr>
                <w:rFonts w:ascii="Calibri" w:hAnsi="Calibri"/>
                <w:sz w:val="22"/>
              </w:rPr>
              <w:t>$2.01</w:t>
            </w:r>
          </w:p>
        </w:tc>
        <w:tc>
          <w:tcPr>
            <w:tcW w:type="dxa" w:w="1234"/>
          </w:tcPr>
          <w:p>
            <w:r>
              <w:rPr>
                <w:rFonts w:ascii="Calibri" w:hAnsi="Calibri"/>
                <w:sz w:val="22"/>
              </w:rPr>
              <w:t>$3.64</w:t>
            </w:r>
          </w:p>
        </w:tc>
        <w:tc>
          <w:tcPr>
            <w:tcW w:type="dxa" w:w="1234"/>
          </w:tcPr>
          <w:p>
            <w:r>
              <w:rPr>
                <w:rFonts w:ascii="Calibri" w:hAnsi="Calibri"/>
                <w:b/>
                <w:color w:val="30A46C"/>
                <w:sz w:val="22"/>
              </w:rPr>
              <w:t>+81.1% YoY</w:t>
            </w:r>
          </w:p>
        </w:tc>
        <w:tc>
          <w:tcPr>
            <w:tcW w:type="dxa" w:w="1234"/>
          </w:tcPr>
          <w:p>
            <w:r>
              <w:rPr>
                <w:rFonts w:ascii="Calibri" w:hAnsi="Calibri"/>
                <w:sz w:val="22"/>
              </w:rPr>
              <w:t>$3.51–$3.55 (Jun 17 pre-announcement)</w:t>
            </w:r>
          </w:p>
        </w:tc>
        <w:tc>
          <w:tcPr>
            <w:tcW w:type="dxa" w:w="1234"/>
          </w:tcPr>
          <w:p>
            <w:r>
              <w:rPr>
                <w:rFonts w:ascii="Calibri" w:hAnsi="Calibri"/>
                <w:sz w:val="22"/>
              </w:rPr>
              <w:t>+2.9% above $3.53 midpoint</w:t>
            </w:r>
          </w:p>
        </w:tc>
      </w:tr>
      <w:tr>
        <w:tc>
          <w:tcPr>
            <w:tcW w:type="dxa" w:w="1234"/>
          </w:tcPr>
          <w:p>
            <w:r>
              <w:rPr>
                <w:rFonts w:ascii="Calibri" w:hAnsi="Calibri"/>
                <w:sz w:val="22"/>
              </w:rPr>
              <w:t>Net Sales ($B)</w:t>
            </w:r>
          </w:p>
        </w:tc>
        <w:tc>
          <w:tcPr>
            <w:tcW w:type="dxa" w:w="1234"/>
          </w:tcPr>
          <w:p>
            <w:r>
              <w:rPr>
                <w:rFonts w:ascii="Calibri" w:hAnsi="Calibri"/>
                <w:sz w:val="22"/>
              </w:rPr>
              <w:t>$5.20B</w:t>
            </w:r>
          </w:p>
        </w:tc>
        <w:tc>
          <w:tcPr>
            <w:tcW w:type="dxa" w:w="1234"/>
          </w:tcPr>
          <w:p>
            <w:r>
              <w:rPr>
                <w:rFonts w:ascii="Calibri" w:hAnsi="Calibri"/>
                <w:sz w:val="22"/>
              </w:rPr>
              <w:t>$4.57B</w:t>
            </w:r>
          </w:p>
        </w:tc>
        <w:tc>
          <w:tcPr>
            <w:tcW w:type="dxa" w:w="1234"/>
          </w:tcPr>
          <w:p>
            <w:r>
              <w:rPr>
                <w:rFonts w:ascii="Calibri" w:hAnsi="Calibri"/>
                <w:sz w:val="22"/>
              </w:rPr>
              <w:t>$5.65B</w:t>
            </w:r>
          </w:p>
        </w:tc>
        <w:tc>
          <w:tcPr>
            <w:tcW w:type="dxa" w:w="1234"/>
          </w:tcPr>
          <w:p>
            <w:r>
              <w:rPr>
                <w:rFonts w:ascii="Calibri" w:hAnsi="Calibri"/>
                <w:b/>
                <w:color w:val="30A46C"/>
                <w:sz w:val="22"/>
              </w:rPr>
              <w:t>+23.7%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EBITDA ($M)</w:t>
            </w:r>
          </w:p>
        </w:tc>
        <w:tc>
          <w:tcPr>
            <w:tcW w:type="dxa" w:w="1234"/>
          </w:tcPr>
          <w:p>
            <w:r>
              <w:rPr>
                <w:rFonts w:ascii="Calibri" w:hAnsi="Calibri"/>
                <w:sz w:val="22"/>
              </w:rPr>
              <w:t>$697M</w:t>
            </w:r>
          </w:p>
        </w:tc>
        <w:tc>
          <w:tcPr>
            <w:tcW w:type="dxa" w:w="1234"/>
          </w:tcPr>
          <w:p>
            <w:r>
              <w:rPr>
                <w:rFonts w:ascii="Calibri" w:hAnsi="Calibri"/>
                <w:sz w:val="22"/>
              </w:rPr>
              <w:t>$516M</w:t>
            </w:r>
          </w:p>
        </w:tc>
        <w:tc>
          <w:tcPr>
            <w:tcW w:type="dxa" w:w="1234"/>
          </w:tcPr>
          <w:p>
            <w:r>
              <w:rPr>
                <w:rFonts w:ascii="Calibri" w:hAnsi="Calibri"/>
                <w:sz w:val="22"/>
              </w:rPr>
              <w:t>$875M</w:t>
            </w:r>
          </w:p>
        </w:tc>
        <w:tc>
          <w:tcPr>
            <w:tcW w:type="dxa" w:w="1234"/>
          </w:tcPr>
          <w:p>
            <w:r>
              <w:rPr>
                <w:rFonts w:ascii="Calibri" w:hAnsi="Calibri"/>
                <w:b/>
                <w:color w:val="30A46C"/>
                <w:sz w:val="22"/>
              </w:rPr>
              <w:t>+69.6%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Steel Operating Income ($M)</w:t>
            </w:r>
          </w:p>
        </w:tc>
        <w:tc>
          <w:tcPr>
            <w:tcW w:type="dxa" w:w="1234"/>
          </w:tcPr>
          <w:p>
            <w:r>
              <w:rPr>
                <w:rFonts w:ascii="Calibri" w:hAnsi="Calibri"/>
                <w:sz w:val="22"/>
              </w:rPr>
              <w:t>$646M</w:t>
            </w:r>
          </w:p>
        </w:tc>
        <w:tc>
          <w:tcPr>
            <w:tcW w:type="dxa" w:w="1234"/>
          </w:tcPr>
          <w:p>
            <w:r>
              <w:rPr>
                <w:rFonts w:ascii="Calibri" w:hAnsi="Calibri"/>
                <w:sz w:val="22"/>
              </w:rPr>
              <w:t>$475M</w:t>
            </w:r>
          </w:p>
        </w:tc>
        <w:tc>
          <w:tcPr>
            <w:tcW w:type="dxa" w:w="1234"/>
          </w:tcPr>
          <w:p>
            <w:r>
              <w:rPr>
                <w:rFonts w:ascii="Calibri" w:hAnsi="Calibri"/>
                <w:sz w:val="22"/>
              </w:rPr>
              <w:t>$793M</w:t>
            </w:r>
          </w:p>
        </w:tc>
        <w:tc>
          <w:tcPr>
            <w:tcW w:type="dxa" w:w="1234"/>
          </w:tcPr>
          <w:p>
            <w:r>
              <w:rPr>
                <w:rFonts w:ascii="Calibri" w:hAnsi="Calibri"/>
                <w:b/>
                <w:color w:val="30A46C"/>
                <w:sz w:val="22"/>
              </w:rPr>
              <w:t>+67.0%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Aluminium Operating Income (Loss) ($M)</w:t>
            </w:r>
          </w:p>
        </w:tc>
        <w:tc>
          <w:tcPr>
            <w:tcW w:type="dxa" w:w="1234"/>
          </w:tcPr>
          <w:p>
            <w:r>
              <w:rPr>
                <w:rFonts w:ascii="Calibri" w:hAnsi="Calibri"/>
                <w:sz w:val="22"/>
              </w:rPr>
              <w:t>($65M)</w:t>
            </w:r>
          </w:p>
        </w:tc>
        <w:tc>
          <w:tcPr>
            <w:tcW w:type="dxa" w:w="1234"/>
          </w:tcPr>
          <w:p>
            <w:r>
              <w:rPr>
                <w:rFonts w:ascii="Calibri" w:hAnsi="Calibri"/>
                <w:sz w:val="22"/>
              </w:rPr>
              <w:t>($41M)</w:t>
            </w:r>
          </w:p>
        </w:tc>
        <w:tc>
          <w:tcPr>
            <w:tcW w:type="dxa" w:w="1234"/>
          </w:tcPr>
          <w:p>
            <w:r>
              <w:rPr>
                <w:rFonts w:ascii="Calibri" w:hAnsi="Calibri"/>
                <w:sz w:val="22"/>
              </w:rPr>
              <w:t>($17M)</w:t>
            </w:r>
          </w:p>
        </w:tc>
        <w:tc>
          <w:tcPr>
            <w:tcW w:type="dxa" w:w="1234"/>
          </w:tcPr>
          <w:p>
            <w:r>
              <w:rPr>
                <w:rFonts w:ascii="Calibri" w:hAnsi="Calibri"/>
                <w:b/>
                <w:color w:val="30A46C"/>
                <w:sz w:val="22"/>
              </w:rPr>
              <w:t>Loss narrowing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Steel Shipments (KTons)</w:t>
            </w:r>
          </w:p>
        </w:tc>
        <w:tc>
          <w:tcPr>
            <w:tcW w:type="dxa" w:w="1234"/>
          </w:tcPr>
          <w:p>
            <w:r>
              <w:rPr>
                <w:rFonts w:ascii="Calibri" w:hAnsi="Calibri"/>
                <w:sz w:val="22"/>
              </w:rPr>
              <w:t>3,639 KT</w:t>
            </w:r>
          </w:p>
        </w:tc>
        <w:tc>
          <w:tcPr>
            <w:tcW w:type="dxa" w:w="1234"/>
          </w:tcPr>
          <w:p>
            <w:r>
              <w:rPr>
                <w:rFonts w:ascii="Calibri" w:hAnsi="Calibri"/>
                <w:sz w:val="22"/>
              </w:rPr>
              <w:t>3,350 KT</w:t>
            </w:r>
          </w:p>
        </w:tc>
        <w:tc>
          <w:tcPr>
            <w:tcW w:type="dxa" w:w="1234"/>
          </w:tcPr>
          <w:p>
            <w:r>
              <w:rPr>
                <w:rFonts w:ascii="Calibri" w:hAnsi="Calibri"/>
                <w:sz w:val="22"/>
              </w:rPr>
              <w:t>3,661 KT</w:t>
            </w:r>
          </w:p>
        </w:tc>
        <w:tc>
          <w:tcPr>
            <w:tcW w:type="dxa" w:w="1234"/>
          </w:tcPr>
          <w:p>
            <w:r>
              <w:rPr>
                <w:rFonts w:ascii="Calibri" w:hAnsi="Calibri"/>
                <w:b/>
                <w:color w:val="30A46C"/>
                <w:sz w:val="22"/>
              </w:rPr>
              <w:t>+9.3%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Avg. Realized Steel Price ($/ton)</w:t>
            </w:r>
          </w:p>
        </w:tc>
        <w:tc>
          <w:tcPr>
            <w:tcW w:type="dxa" w:w="1234"/>
          </w:tcPr>
          <w:p>
            <w:r>
              <w:rPr>
                <w:rFonts w:ascii="Calibri" w:hAnsi="Calibri"/>
                <w:sz w:val="22"/>
              </w:rPr>
              <w:t>$1,193/ton</w:t>
            </w:r>
          </w:p>
        </w:tc>
        <w:tc>
          <w:tcPr>
            <w:tcW w:type="dxa" w:w="1234"/>
          </w:tcPr>
          <w:p>
            <w:r>
              <w:rPr>
                <w:rFonts w:ascii="Calibri" w:hAnsi="Calibri"/>
                <w:sz w:val="22"/>
              </w:rPr>
              <w:t>$1,134/ton</w:t>
            </w:r>
          </w:p>
        </w:tc>
        <w:tc>
          <w:tcPr>
            <w:tcW w:type="dxa" w:w="1234"/>
          </w:tcPr>
          <w:p>
            <w:r>
              <w:rPr>
                <w:rFonts w:ascii="Calibri" w:hAnsi="Calibri"/>
                <w:sz w:val="22"/>
              </w:rPr>
              <w:t>$1,266/ton</w:t>
            </w:r>
          </w:p>
        </w:tc>
        <w:tc>
          <w:tcPr>
            <w:tcW w:type="dxa" w:w="1234"/>
          </w:tcPr>
          <w:p>
            <w:r>
              <w:rPr>
                <w:rFonts w:ascii="Calibri" w:hAnsi="Calibri"/>
                <w:b/>
                <w:color w:val="30A46C"/>
                <w:sz w:val="22"/>
              </w:rPr>
              <w:t>+11.6%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$10M</w:t>
            </w:r>
          </w:p>
        </w:tc>
        <w:tc>
          <w:tcPr>
            <w:tcW w:type="dxa" w:w="1234"/>
          </w:tcPr>
          <w:p>
            <w:r>
              <w:rPr>
                <w:rFonts w:ascii="Calibri" w:hAnsi="Calibri"/>
                <w:sz w:val="22"/>
              </w:rPr>
              <w:t>$13M</w:t>
            </w:r>
          </w:p>
        </w:tc>
        <w:tc>
          <w:tcPr>
            <w:tcW w:type="dxa" w:w="1234"/>
          </w:tcPr>
          <w:p>
            <w:r>
              <w:rPr>
                <w:rFonts w:ascii="Calibri" w:hAnsi="Calibri"/>
                <w:sz w:val="22"/>
              </w:rPr>
              <w:t>$525M</w:t>
            </w:r>
          </w:p>
        </w:tc>
        <w:tc>
          <w:tcPr>
            <w:tcW w:type="dxa" w:w="1234"/>
          </w:tcPr>
          <w:p>
            <w:r>
              <w:rPr>
                <w:rFonts w:ascii="Calibri" w:hAnsi="Calibri"/>
                <w:b/>
                <w:color w:val="30A46C"/>
                <w:sz w:val="22"/>
              </w:rPr>
              <w:t>Significant improvement</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CapEx ($M)</w:t>
            </w:r>
          </w:p>
        </w:tc>
        <w:tc>
          <w:tcPr>
            <w:tcW w:type="dxa" w:w="1234"/>
          </w:tcPr>
          <w:p>
            <w:r>
              <w:rPr>
                <w:rFonts w:ascii="Calibri" w:hAnsi="Calibri"/>
                <w:sz w:val="22"/>
              </w:rPr>
              <w:t>$138M</w:t>
            </w:r>
          </w:p>
        </w:tc>
        <w:tc>
          <w:tcPr>
            <w:tcW w:type="dxa" w:w="1234"/>
          </w:tcPr>
          <w:p>
            <w:r>
              <w:rPr>
                <w:rFonts w:ascii="Calibri" w:hAnsi="Calibri"/>
                <w:sz w:val="22"/>
              </w:rPr>
              <w:t>$288M</w:t>
            </w:r>
          </w:p>
        </w:tc>
        <w:tc>
          <w:tcPr>
            <w:tcW w:type="dxa" w:w="1234"/>
          </w:tcPr>
          <w:p>
            <w:r>
              <w:rPr>
                <w:rFonts w:ascii="Calibri" w:hAnsi="Calibri"/>
                <w:sz w:val="22"/>
              </w:rPr>
              <w:t>$158M</w:t>
            </w:r>
          </w:p>
        </w:tc>
        <w:tc>
          <w:tcPr>
            <w:tcW w:type="dxa" w:w="1234"/>
          </w:tcPr>
          <w:p>
            <w:r>
              <w:rPr>
                <w:rFonts w:ascii="Calibri" w:hAnsi="Calibri"/>
                <w:b/>
                <w:color w:val="30A46C"/>
                <w:sz w:val="22"/>
              </w:rPr>
              <w:t>-45.1% YoY (declining)</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All Q2 2026 figures are consensus estimates; Q1 2026 and Q2 2025 are reported actuals. EPS guidance per Steel Dynamics June 17, 2026 press release.</w:t>
      </w:r>
    </w:p>
    <w:p>
      <w:pPr>
        <w:pStyle w:val="Heading3"/>
      </w:pPr>
      <w:r>
        <w:rPr>
          <w:rFonts w:ascii="Calibri" w:hAnsi="Calibri"/>
          <w:b/>
          <w:color w:val="3B4259"/>
          <w:sz w:val="24"/>
        </w:rPr>
        <w:t>Table 2 — Beat/Miss History: Operating Diluted EPS (Last 4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2025</w:t>
            </w:r>
          </w:p>
        </w:tc>
        <w:tc>
          <w:tcPr>
            <w:tcW w:type="dxa" w:w="1728"/>
          </w:tcPr>
          <w:p>
            <w:r>
              <w:rPr>
                <w:rFonts w:ascii="Calibri" w:hAnsi="Calibri"/>
                <w:sz w:val="22"/>
              </w:rPr>
              <w:t>$2.01</w:t>
            </w:r>
          </w:p>
        </w:tc>
        <w:tc>
          <w:tcPr>
            <w:tcW w:type="dxa" w:w="1728"/>
          </w:tcPr>
          <w:p>
            <w:r>
              <w:rPr>
                <w:rFonts w:ascii="Calibri" w:hAnsi="Calibri"/>
                <w:sz w:val="22"/>
              </w:rPr>
              <w:t>$2.20</w:t>
            </w:r>
          </w:p>
        </w:tc>
        <w:tc>
          <w:tcPr>
            <w:tcW w:type="dxa" w:w="1728"/>
          </w:tcPr>
          <w:p>
            <w:r>
              <w:rPr>
                <w:rFonts w:ascii="Calibri" w:hAnsi="Calibri"/>
                <w:b/>
                <w:color w:val="E5484D"/>
                <w:sz w:val="22"/>
              </w:rPr>
              <w:t>-9.0%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$2.74</w:t>
            </w:r>
          </w:p>
        </w:tc>
        <w:tc>
          <w:tcPr>
            <w:tcW w:type="dxa" w:w="1728"/>
          </w:tcPr>
          <w:p>
            <w:r>
              <w:rPr>
                <w:rFonts w:ascii="Calibri" w:hAnsi="Calibri"/>
                <w:sz w:val="22"/>
              </w:rPr>
              <w:t>$2.63</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$1.82</w:t>
            </w:r>
          </w:p>
        </w:tc>
        <w:tc>
          <w:tcPr>
            <w:tcW w:type="dxa" w:w="1728"/>
          </w:tcPr>
          <w:p>
            <w:r>
              <w:rPr>
                <w:rFonts w:ascii="Calibri" w:hAnsi="Calibri"/>
                <w:sz w:val="22"/>
              </w:rPr>
              <w:t>$1.70</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$2.78</w:t>
            </w:r>
          </w:p>
        </w:tc>
        <w:tc>
          <w:tcPr>
            <w:tcW w:type="dxa" w:w="1728"/>
          </w:tcPr>
          <w:p>
            <w:r>
              <w:rPr>
                <w:rFonts w:ascii="Calibri" w:hAnsi="Calibri"/>
                <w:sz w:val="22"/>
              </w:rPr>
              <w:t>$2.78</w:t>
            </w:r>
          </w:p>
        </w:tc>
        <w:tc>
          <w:tcPr>
            <w:tcW w:type="dxa" w:w="1728"/>
          </w:tcPr>
          <w:p>
            <w:r>
              <w:rPr>
                <w:rFonts w:ascii="Calibri" w:hAnsi="Calibri"/>
                <w:sz w:val="22"/>
              </w:rPr>
              <w:t>-0.3%</w:t>
            </w:r>
          </w:p>
        </w:tc>
        <w:tc>
          <w:tcPr>
            <w:tcW w:type="dxa" w:w="1728"/>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STLD's recent beat/miss history is mixed but generally in-line-to-slightly-positive — the company's practice of issuing a mid-quarter EPS pre-announcement (as it did on June 17, 2026) means the final print rarely strays materially from the pre-announced range, so the more relevant question is whether steel segment performance or aluminum recovery can push results above the $3.51–$3.55 guidance band rather than whether STLD beats the Street consensus.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June 17 pre-announcement of $3.51–$3.55 EPS came in </w:t>
      </w:r>
      <w:r>
        <w:rPr>
          <w:rFonts w:ascii="Calibri" w:hAnsi="Calibri"/>
          <w:b/>
          <w:color w:val="525866"/>
          <w:sz w:val="22"/>
        </w:rPr>
        <w:t>below the then-elevated Street consensus of ~$4.03</w:t>
      </w:r>
      <w:r>
        <w:rPr>
          <w:rFonts w:ascii="Calibri" w:hAnsi="Calibri"/>
          <w:color w:val="525866"/>
          <w:sz w:val="22"/>
        </w:rPr>
        <w:t xml:space="preserve"> and triggered a sharp one-day stock drop; qualitatively, tone is </w:t>
      </w:r>
      <w:r>
        <w:rPr>
          <w:rFonts w:ascii="Calibri" w:hAnsi="Calibri"/>
          <w:b/>
          <w:color w:val="525866"/>
          <w:sz w:val="22"/>
        </w:rPr>
        <w:t>constructive on steel pricing and cautiously optimistic on aluminum</w:t>
      </w:r>
      <w:r>
        <w:rPr>
          <w:rFonts w:ascii="Calibri" w:hAnsi="Calibri"/>
          <w:color w:val="525866"/>
          <w:sz w:val="22"/>
        </w:rPr>
        <w:t>, with management signaling a potential upward revision to through-cycle aluminum EBITDA targets.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 Q1 Earnings Guidance</w:t>
            </w:r>
          </w:p>
        </w:tc>
        <w:tc>
          <w:tcPr>
            <w:tcW w:type="dxa" w:w="1728"/>
            <w:shd w:val="clear" w:color="auto" w:fill="3B4259"/>
          </w:tcPr>
          <w:p>
            <w:r>
              <w:rPr>
                <w:rFonts w:ascii="Calibri" w:hAnsi="Calibri"/>
                <w:b/>
                <w:color w:val="FFFFFF"/>
                <w:sz w:val="22"/>
              </w:rPr>
              <w:t>Revised / Current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 (Operating Diluted)</w:t>
            </w:r>
          </w:p>
        </w:tc>
        <w:tc>
          <w:tcPr>
            <w:tcW w:type="dxa" w:w="1728"/>
          </w:tcPr>
          <w:p>
            <w:r>
              <w:rPr>
                <w:rFonts w:ascii="Calibri" w:hAnsi="Calibri"/>
                <w:sz w:val="22"/>
              </w:rPr>
              <w:t>No quantitative EPS guidance given on Q1 earnings call (Apr 20, 2026); Street consensus was ~$4.06 at that time</w:t>
            </w:r>
          </w:p>
        </w:tc>
        <w:tc>
          <w:tcPr>
            <w:tcW w:type="dxa" w:w="1728"/>
          </w:tcPr>
          <w:p>
            <w:r>
              <w:rPr>
                <w:rFonts w:ascii="Calibri" w:hAnsi="Calibri"/>
                <w:sz w:val="22"/>
              </w:rPr>
              <w:t>$3.51–$3.55 per diluted share (June 17, 2026 pre-announcement)</w:t>
            </w:r>
          </w:p>
        </w:tc>
        <w:tc>
          <w:tcPr>
            <w:tcW w:type="dxa" w:w="1728"/>
          </w:tcPr>
          <w:p>
            <w:r>
              <w:rPr>
                <w:rFonts w:ascii="Calibri" w:hAnsi="Calibri"/>
                <w:sz w:val="22"/>
              </w:rPr>
              <w:t>$3.64</w:t>
            </w:r>
          </w:p>
        </w:tc>
        <w:tc>
          <w:tcPr>
            <w:tcW w:type="dxa" w:w="1728"/>
          </w:tcPr>
          <w:p>
            <w:r>
              <w:rPr>
                <w:rFonts w:ascii="Calibri" w:hAnsi="Calibri"/>
                <w:sz w:val="22"/>
              </w:rPr>
              <w:t>June 17 guide came in ~13% below the then-prevailing Street number; triggered a sharp one-day stock selloff; consensus subsequently cut to $3.64, still ~+2.9% above the $3.53 guidance midpoint</w:t>
            </w:r>
          </w:p>
        </w:tc>
      </w:tr>
      <w:tr>
        <w:tc>
          <w:tcPr>
            <w:tcW w:type="dxa" w:w="1728"/>
          </w:tcPr>
          <w:p>
            <w:r>
              <w:rPr>
                <w:rFonts w:ascii="Calibri" w:hAnsi="Calibri"/>
                <w:sz w:val="22"/>
              </w:rPr>
              <w:t>Aluminum EBITDA / Through-Cycle Targets</w:t>
            </w:r>
          </w:p>
        </w:tc>
        <w:tc>
          <w:tcPr>
            <w:tcW w:type="dxa" w:w="1728"/>
          </w:tcPr>
          <w:p>
            <w:r>
              <w:rPr>
                <w:rFonts w:ascii="Calibri" w:hAnsi="Calibri"/>
                <w:sz w:val="22"/>
              </w:rPr>
              <w:t>Q1 call: aluminum posted operating loss due to January quality issue; management guided Q2 aluminum shipments dramatically higher than Q1; signaled current aluminum spreads are substantially above through-cycle model assumptions</w:t>
            </w:r>
          </w:p>
        </w:tc>
        <w:tc>
          <w:tcPr>
            <w:tcW w:type="dxa" w:w="1728"/>
          </w:tcPr>
          <w:p>
            <w:r>
              <w:rPr>
                <w:rFonts w:ascii="Calibri" w:hAnsi="Calibri"/>
                <w:sz w:val="22"/>
              </w:rPr>
              <w:t>No formal revision yet; management indicated a potential upward revision to through-cycle aluminum EBITDA targets in coming months, reflecting a view that the aluminum market has undergone a structural shift</w:t>
            </w:r>
          </w:p>
        </w:tc>
        <w:tc>
          <w:tcPr>
            <w:tcW w:type="dxa" w:w="1728"/>
          </w:tcPr>
          <w:p>
            <w:r>
              <w:rPr>
                <w:rFonts w:ascii="Calibri" w:hAnsi="Calibri"/>
                <w:sz w:val="22"/>
              </w:rPr>
              <w:t>Q2 2026 Aluminium Op. Income consensus: ($17M) loss, improving from ($65M) in Q1 2026</w:t>
            </w:r>
          </w:p>
        </w:tc>
        <w:tc>
          <w:tcPr>
            <w:tcW w:type="dxa" w:w="1728"/>
          </w:tcPr>
          <w:p>
            <w:r>
              <w:rPr>
                <w:rFonts w:ascii="Calibri" w:hAnsi="Calibri"/>
                <w:sz w:val="22"/>
              </w:rPr>
              <w:t>Key watch item: any formal upward revision to through-cycle targets would be a meaningful positive re-rating catalyst; RS (Reliance) flagged potential aluminum shortage by end of summer, corroborating STLD's constructive view on aluminum spreads</w:t>
            </w:r>
          </w:p>
        </w:tc>
      </w:tr>
      <w:tr>
        <w:tc>
          <w:tcPr>
            <w:tcW w:type="dxa" w:w="1728"/>
          </w:tcPr>
          <w:p>
            <w:r>
              <w:rPr>
                <w:rFonts w:ascii="Calibri" w:hAnsi="Calibri"/>
                <w:sz w:val="22"/>
              </w:rPr>
              <w:t>Steel Pricing / Metal Spreads</w:t>
            </w:r>
          </w:p>
        </w:tc>
        <w:tc>
          <w:tcPr>
            <w:tcW w:type="dxa" w:w="1728"/>
          </w:tcPr>
          <w:p>
            <w:r>
              <w:rPr>
                <w:rFonts w:ascii="Calibri" w:hAnsi="Calibri"/>
                <w:sz w:val="22"/>
              </w:rPr>
              <w:t>Q1 call: tone shifted from defensive to optimistic; record Q1 shipments; rising realized prices as inventory overhang cleared and imports declined; Q1 avg. realized price $1,193/ton vs. $1,134/ton in Q2 2025</w:t>
            </w:r>
          </w:p>
        </w:tc>
        <w:tc>
          <w:tcPr>
            <w:tcW w:type="dxa" w:w="1728"/>
          </w:tcPr>
          <w:p>
            <w:r>
              <w:rPr>
                <w:rFonts w:ascii="Calibri" w:hAnsi="Calibri"/>
                <w:sz w:val="22"/>
              </w:rPr>
              <w:t>Tone remains constructive; Q2 2026 consensus avg. realized price of $1,266/ton implies further sequential and YoY improvement; scrap costs expected stable per peer commentary (CMC)</w:t>
            </w:r>
          </w:p>
        </w:tc>
        <w:tc>
          <w:tcPr>
            <w:tcW w:type="dxa" w:w="1728"/>
          </w:tcPr>
          <w:p>
            <w:r>
              <w:rPr>
                <w:rFonts w:ascii="Calibri" w:hAnsi="Calibri"/>
                <w:sz w:val="22"/>
              </w:rPr>
              <w:t>Q2 2026 Steel Op. Income consensus: $793M, up from $646M in Q1 2026 and $475M in Q2 2025</w:t>
            </w:r>
          </w:p>
        </w:tc>
        <w:tc>
          <w:tcPr>
            <w:tcW w:type="dxa" w:w="1728"/>
          </w:tcPr>
          <w:p>
            <w:r>
              <w:rPr>
                <w:rFonts w:ascii="Calibri" w:hAnsi="Calibri"/>
                <w:sz w:val="22"/>
              </w:rPr>
              <w:t>Peer read-through (NUE, CMC, RS) all confirm rising steel prices, stable scrap, and firm non-residential demand in calendar Q2 2026 — strongly supportive of STLD's steel segment</w:t>
            </w:r>
          </w:p>
        </w:tc>
      </w:tr>
      <w:tr>
        <w:tc>
          <w:tcPr>
            <w:tcW w:type="dxa" w:w="1728"/>
          </w:tcPr>
          <w:p>
            <w:r>
              <w:rPr>
                <w:rFonts w:ascii="Calibri" w:hAnsi="Calibri"/>
                <w:sz w:val="22"/>
              </w:rPr>
              <w:t>Capital Allocation</w:t>
            </w:r>
          </w:p>
        </w:tc>
        <w:tc>
          <w:tcPr>
            <w:tcW w:type="dxa" w:w="1728"/>
          </w:tcPr>
          <w:p>
            <w:r>
              <w:rPr>
                <w:rFonts w:ascii="Calibri" w:hAnsi="Calibri"/>
                <w:sz w:val="22"/>
              </w:rPr>
              <w:t>Q1 call: buyback pace moderated due to significant working capital growth from rising prices and aluminum ramp; reaffirmed balanced priority framework (growth → progressive dividend → variable buybacks)</w:t>
            </w:r>
          </w:p>
        </w:tc>
        <w:tc>
          <w:tcPr>
            <w:tcW w:type="dxa" w:w="1728"/>
          </w:tcPr>
          <w:p>
            <w:r>
              <w:rPr>
                <w:rFonts w:ascii="Calibri" w:hAnsi="Calibri"/>
                <w:sz w:val="22"/>
              </w:rPr>
              <w:t>No change; BlueScope M&amp;A pursuit stalled after rejected joint offer with SGH; management exploring broad organic growth pipeline in steel and aluminum as CapEx normalizes</w:t>
            </w:r>
          </w:p>
        </w:tc>
        <w:tc>
          <w:tcPr>
            <w:tcW w:type="dxa" w:w="1728"/>
          </w:tcPr>
          <w:p>
            <w:r>
              <w:rPr>
                <w:rFonts w:ascii="Calibri" w:hAnsi="Calibri"/>
                <w:sz w:val="22"/>
              </w:rPr>
              <w:t>FY2026 CapEx consensus: ~$598M, down sharply from prior years as major growth projects complete</w:t>
            </w:r>
          </w:p>
        </w:tc>
        <w:tc>
          <w:tcPr>
            <w:tcW w:type="dxa" w:w="1728"/>
          </w:tcPr>
          <w:p>
            <w:r>
              <w:rPr>
                <w:rFonts w:ascii="Calibri" w:hAnsi="Calibri"/>
                <w:sz w:val="22"/>
              </w:rPr>
              <w:t>Declining CapEx + rising earnings = significant FCF inflection; FY2026 FCF consensus ~$2.1B</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Near-term Q2 estimates were </w:t>
      </w:r>
      <w:r>
        <w:rPr>
          <w:rFonts w:ascii="Calibri" w:hAnsi="Calibri"/>
          <w:b/>
          <w:color w:val="525866"/>
          <w:sz w:val="22"/>
        </w:rPr>
        <w:t>cut hard (~10%) on the June 17 guidance pre-announcement</w:t>
      </w:r>
      <w:r>
        <w:rPr>
          <w:rFonts w:ascii="Calibri" w:hAnsi="Calibri"/>
          <w:color w:val="525866"/>
          <w:sz w:val="22"/>
        </w:rPr>
        <w:t xml:space="preserve">, but </w:t>
      </w:r>
      <w:r>
        <w:rPr>
          <w:rFonts w:ascii="Calibri" w:hAnsi="Calibri"/>
          <w:b/>
          <w:color w:val="525866"/>
          <w:sz w:val="22"/>
        </w:rPr>
        <w:t>full-year 2026 estimates have risen ~+9.5%</w:t>
      </w:r>
      <w:r>
        <w:rPr>
          <w:rFonts w:ascii="Calibri" w:hAnsi="Calibri"/>
          <w:color w:val="525866"/>
          <w:sz w:val="22"/>
        </w:rPr>
        <w:t xml:space="preserve"> since the Q1 print — the market is looking through a softer Q2 to a stronger H2 driven by rising steel prices and the aluminum ramp.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 (Period)</w:t>
            </w:r>
          </w:p>
        </w:tc>
        <w:tc>
          <w:tcPr>
            <w:tcW w:type="dxa" w:w="1728"/>
            <w:shd w:val="clear" w:color="auto" w:fill="3B4259"/>
          </w:tcPr>
          <w:p>
            <w:r>
              <w:rPr>
                <w:rFonts w:ascii="Calibri" w:hAnsi="Calibri"/>
                <w:b/>
                <w:color w:val="FFFFFF"/>
                <w:sz w:val="22"/>
              </w:rPr>
              <w:t>Estimate ~5 Days Post Q1 Print (Apr 27, 2026)</w:t>
            </w:r>
          </w:p>
        </w:tc>
        <w:tc>
          <w:tcPr>
            <w:tcW w:type="dxa" w:w="1728"/>
            <w:shd w:val="clear" w:color="auto" w:fill="3B4259"/>
          </w:tcPr>
          <w:p>
            <w:r>
              <w:rPr>
                <w:rFonts w:ascii="Calibri" w:hAnsi="Calibri"/>
                <w:b/>
                <w:color w:val="FFFFFF"/>
                <w:sz w:val="22"/>
              </w:rPr>
              <w:t>Current Consensus (Jul 19, 2026)</w:t>
            </w:r>
          </w:p>
        </w:tc>
        <w:tc>
          <w:tcPr>
            <w:tcW w:type="dxa" w:w="1728"/>
            <w:shd w:val="clear" w:color="auto" w:fill="3B4259"/>
          </w:tcPr>
          <w:p>
            <w:r>
              <w:rPr>
                <w:rFonts w:ascii="Calibri" w:hAnsi="Calibri"/>
                <w:b/>
                <w:color w:val="FFFFFF"/>
                <w:sz w:val="22"/>
              </w:rPr>
              <w:t>Estimate Δ%</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Operating Diluted EPS</w:t>
            </w:r>
          </w:p>
        </w:tc>
        <w:tc>
          <w:tcPr>
            <w:tcW w:type="dxa" w:w="1728"/>
          </w:tcPr>
          <w:p>
            <w:r>
              <w:rPr>
                <w:rFonts w:ascii="Calibri" w:hAnsi="Calibri"/>
                <w:sz w:val="22"/>
              </w:rPr>
              <w:t>$4.06</w:t>
            </w:r>
          </w:p>
        </w:tc>
        <w:tc>
          <w:tcPr>
            <w:tcW w:type="dxa" w:w="1728"/>
          </w:tcPr>
          <w:p>
            <w:r>
              <w:rPr>
                <w:rFonts w:ascii="Calibri" w:hAnsi="Calibri"/>
                <w:sz w:val="22"/>
              </w:rPr>
              <w:t>$3.64</w:t>
            </w:r>
          </w:p>
        </w:tc>
        <w:tc>
          <w:tcPr>
            <w:tcW w:type="dxa" w:w="1728"/>
          </w:tcPr>
          <w:p>
            <w:r>
              <w:rPr>
                <w:rFonts w:ascii="Calibri" w:hAnsi="Calibri"/>
                <w:b/>
                <w:color w:val="E5484D"/>
                <w:sz w:val="22"/>
              </w:rPr>
              <w:t>-10.4%</w:t>
            </w:r>
          </w:p>
        </w:tc>
        <w:tc>
          <w:tcPr>
            <w:tcW w:type="dxa" w:w="1728"/>
          </w:tcPr>
          <w:p>
            <w:r>
              <w:rPr>
                <w:rFonts w:ascii="Calibri" w:hAnsi="Calibri"/>
                <w:sz w:val="22"/>
              </w:rPr>
              <w:t>Cut driven by June 17 pre-announcement ($3.51–$3.55 guide); consensus still sits ~+2.9% above guidance midpoint</w:t>
            </w:r>
          </w:p>
        </w:tc>
      </w:tr>
      <w:tr>
        <w:tc>
          <w:tcPr>
            <w:tcW w:type="dxa" w:w="1728"/>
          </w:tcPr>
          <w:p>
            <w:r>
              <w:rPr>
                <w:rFonts w:ascii="Calibri" w:hAnsi="Calibri"/>
                <w:sz w:val="22"/>
              </w:rPr>
              <w:t>Q2 2026 Net Sales</w:t>
            </w:r>
          </w:p>
        </w:tc>
        <w:tc>
          <w:tcPr>
            <w:tcW w:type="dxa" w:w="1728"/>
          </w:tcPr>
          <w:p>
            <w:r>
              <w:rPr>
                <w:rFonts w:ascii="Calibri" w:hAnsi="Calibri"/>
                <w:sz w:val="22"/>
              </w:rPr>
              <w:t>$5.63B</w:t>
            </w:r>
          </w:p>
        </w:tc>
        <w:tc>
          <w:tcPr>
            <w:tcW w:type="dxa" w:w="1728"/>
          </w:tcPr>
          <w:p>
            <w:r>
              <w:rPr>
                <w:rFonts w:ascii="Calibri" w:hAnsi="Calibri"/>
                <w:sz w:val="22"/>
              </w:rPr>
              <w:t>$5.65B</w:t>
            </w:r>
          </w:p>
        </w:tc>
        <w:tc>
          <w:tcPr>
            <w:tcW w:type="dxa" w:w="1728"/>
          </w:tcPr>
          <w:p>
            <w:r>
              <w:rPr>
                <w:rFonts w:ascii="Calibri" w:hAnsi="Calibri"/>
                <w:sz w:val="22"/>
              </w:rPr>
              <w:t>+0.4%</w:t>
            </w:r>
          </w:p>
        </w:tc>
        <w:tc>
          <w:tcPr>
            <w:tcW w:type="dxa" w:w="1728"/>
          </w:tcPr>
          <w:p>
            <w:r>
              <w:rPr>
                <w:rFonts w:ascii="Calibri" w:hAnsi="Calibri"/>
                <w:sz w:val="22"/>
              </w:rPr>
              <w:t>Revenue estimates essentially unchanged; volume and pricing mix offsetting</w:t>
            </w:r>
          </w:p>
        </w:tc>
      </w:tr>
      <w:tr>
        <w:tc>
          <w:tcPr>
            <w:tcW w:type="dxa" w:w="1728"/>
          </w:tcPr>
          <w:p>
            <w:r>
              <w:rPr>
                <w:rFonts w:ascii="Calibri" w:hAnsi="Calibri"/>
                <w:sz w:val="22"/>
              </w:rPr>
              <w:t>FY2026 Operating Diluted EPS</w:t>
            </w:r>
          </w:p>
        </w:tc>
        <w:tc>
          <w:tcPr>
            <w:tcW w:type="dxa" w:w="1728"/>
          </w:tcPr>
          <w:p>
            <w:r>
              <w:rPr>
                <w:rFonts w:ascii="Calibri" w:hAnsi="Calibri"/>
                <w:sz w:val="22"/>
              </w:rPr>
              <w:t>$15.05</w:t>
            </w:r>
          </w:p>
        </w:tc>
        <w:tc>
          <w:tcPr>
            <w:tcW w:type="dxa" w:w="1728"/>
          </w:tcPr>
          <w:p>
            <w:r>
              <w:rPr>
                <w:rFonts w:ascii="Calibri" w:hAnsi="Calibri"/>
                <w:sz w:val="22"/>
              </w:rPr>
              <w:t>$16.48</w:t>
            </w:r>
          </w:p>
        </w:tc>
        <w:tc>
          <w:tcPr>
            <w:tcW w:type="dxa" w:w="1728"/>
          </w:tcPr>
          <w:p>
            <w:r>
              <w:rPr>
                <w:rFonts w:ascii="Calibri" w:hAnsi="Calibri"/>
                <w:b/>
                <w:color w:val="30A46C"/>
                <w:sz w:val="22"/>
              </w:rPr>
              <w:t>+9.5%</w:t>
            </w:r>
          </w:p>
        </w:tc>
        <w:tc>
          <w:tcPr>
            <w:tcW w:type="dxa" w:w="1728"/>
          </w:tcPr>
          <w:p>
            <w:r>
              <w:rPr>
                <w:rFonts w:ascii="Calibri" w:hAnsi="Calibri"/>
                <w:sz w:val="22"/>
              </w:rPr>
              <w:t>Full-year raised despite Q2 cut — H2 2026 expectations rising on steel pricing momentum and aluminum ramp</w:t>
            </w:r>
          </w:p>
        </w:tc>
      </w:tr>
      <w:tr>
        <w:tc>
          <w:tcPr>
            <w:tcW w:type="dxa" w:w="1728"/>
          </w:tcPr>
          <w:p>
            <w:r>
              <w:rPr>
                <w:rFonts w:ascii="Calibri" w:hAnsi="Calibri"/>
                <w:sz w:val="22"/>
              </w:rPr>
              <w:t>FY2026 Net Sales</w:t>
            </w:r>
          </w:p>
        </w:tc>
        <w:tc>
          <w:tcPr>
            <w:tcW w:type="dxa" w:w="1728"/>
          </w:tcPr>
          <w:p>
            <w:r>
              <w:rPr>
                <w:rFonts w:ascii="Calibri" w:hAnsi="Calibri"/>
                <w:sz w:val="22"/>
              </w:rPr>
              <w:t>$22.26B</w:t>
            </w:r>
          </w:p>
        </w:tc>
        <w:tc>
          <w:tcPr>
            <w:tcW w:type="dxa" w:w="1728"/>
          </w:tcPr>
          <w:p>
            <w:r>
              <w:rPr>
                <w:rFonts w:ascii="Calibri" w:hAnsi="Calibri"/>
                <w:sz w:val="22"/>
              </w:rPr>
              <w:t>$23.01B</w:t>
            </w:r>
          </w:p>
        </w:tc>
        <w:tc>
          <w:tcPr>
            <w:tcW w:type="dxa" w:w="1728"/>
          </w:tcPr>
          <w:p>
            <w:r>
              <w:rPr>
                <w:rFonts w:ascii="Calibri" w:hAnsi="Calibri"/>
                <w:b/>
                <w:color w:val="30A46C"/>
                <w:sz w:val="22"/>
              </w:rPr>
              <w:t>+3.4%</w:t>
            </w:r>
          </w:p>
        </w:tc>
        <w:tc>
          <w:tcPr>
            <w:tcW w:type="dxa" w:w="1728"/>
          </w:tcPr>
          <w:p>
            <w:r>
              <w:rPr>
                <w:rFonts w:ascii="Calibri" w:hAnsi="Calibri"/>
                <w:sz w:val="22"/>
              </w:rPr>
              <w:t>Full-year revenue raised; reflects higher realized steel prices and aluminum volume ramp in H2</w:t>
            </w:r>
          </w:p>
        </w:tc>
      </w:tr>
    </w:tbl>
    <w:p>
      <w:r>
        <w:rPr>
          <w:rFonts w:ascii="Calibri" w:hAnsi="Calibri"/>
          <w:color w:val="525866"/>
          <w:sz w:val="22"/>
        </w:rPr>
        <w:t>The bifurcated revision pattern — Q2 cut, full-year raised — is a constructive signal: the Street is not losing conviction in STLD's earnings power, but rather resetting the near-term bar to reflect management's own guidance. The ~+9.5% FY2026 EPS revision since Q1 earnings reflects growing confidence in the H2 steel pricing environment and the aluminum EBITDA inflection, both of which are corroborated by peer commentary. If management formally raises through-cycle aluminum targets on the Q2 call, FY2027 estimates (currently ~$18.76) could see further upward revision.</w:t>
      </w:r>
    </w:p>
    <w:p>
      <w:r>
        <w:rPr>
          <w:rFonts w:ascii="Calibri" w:hAnsi="Calibri"/>
          <w:i/>
          <w:color w:val="525866"/>
          <w:sz w:val="22"/>
        </w:rPr>
        <w:t>Source: Visible Alpha Consensus and Actuals Data (as-of dates: April 27, 2026 baseline; July 19, 2026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STLD staged a dramatic </w:t>
      </w:r>
      <w:r>
        <w:rPr>
          <w:rFonts w:ascii="Calibri" w:hAnsi="Calibri"/>
          <w:b/>
          <w:color w:val="525866"/>
          <w:sz w:val="22"/>
        </w:rPr>
        <w:t>+35% rally from the Q1 print to an early-June peak</w:t>
      </w:r>
      <w:r>
        <w:rPr>
          <w:rFonts w:ascii="Calibri" w:hAnsi="Calibri"/>
          <w:color w:val="525866"/>
          <w:sz w:val="22"/>
        </w:rPr>
        <w:t xml:space="preserve">, then gave back most of those gains on the June 17 below-consensus guidance pre-announcement; the stock now sits </w:t>
      </w:r>
      <w:r>
        <w:rPr>
          <w:rFonts w:ascii="Calibri" w:hAnsi="Calibri"/>
          <w:b/>
          <w:color w:val="525866"/>
          <w:sz w:val="22"/>
        </w:rPr>
        <w:t>~+12.5% since Q1 earnings</w:t>
      </w:r>
      <w:r>
        <w:rPr>
          <w:rFonts w:ascii="Calibri" w:hAnsi="Calibri"/>
          <w:color w:val="525866"/>
          <w:sz w:val="22"/>
        </w:rPr>
        <w:t xml:space="preserve"> — still outperforming the steel ETF (SLX, slightly negative) and roughly in line with the S&amp;P 500, suggesting the multiple is not stretched heading into the Q2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STLD vs. SLX (Steel ETF) vs. S&amp;P 500 (SPY) — Indexed to 100 at Q1 2026 Earnings (Apr 20, 2026). Red dotted line marks June 17, 2026 Q2 guidance pre-announcement ($3.51–$3.55, below ~$4.03 consensus), which triggered a sharp selloff. Source: Stock Price Data.</w:t>
      </w:r>
    </w:p>
    <w:p>
      <w:r>
        <w:rPr>
          <w:rFonts w:ascii="Calibri" w:hAnsi="Calibri"/>
          <w:color w:val="525866"/>
          <w:sz w:val="22"/>
        </w:rPr>
        <w:t xml:space="preserve">The stock performance chart tells the full story of the Q2 setup. STLD surged from ~$209 at the Q1 print to a peak of ~$283 by June 12 — a ~+35% move driven by rising steel prices, record Q1 shipments, and growing optimism about the aluminum ramp. The June 17 Q2 guidance pre-announcement ($3.51–$3.55, vs. the then-prevailing Street consensus of ~$4.03) was a sharp negative catalyst, triggering a one-day selloff and a sustained reset to the ~$235 range. Notably, </w:t>
      </w:r>
      <w:r>
        <w:rPr>
          <w:rFonts w:ascii="Calibri" w:hAnsi="Calibri"/>
          <w:b/>
          <w:color w:val="525866"/>
          <w:sz w:val="22"/>
        </w:rPr>
        <w:t>STLD has significantly outperformed the steel ETF (SLX)</w:t>
      </w:r>
      <w:r>
        <w:rPr>
          <w:rFonts w:ascii="Calibri" w:hAnsi="Calibri"/>
          <w:color w:val="525866"/>
          <w:sz w:val="22"/>
        </w:rPr>
        <w:t xml:space="preserve"> over this period — SLX is slightly negative since Q1 earnings — reflecting the market's view that STLD's diversified platform (aluminum, fabrication) and superior utilization rates command a premium to the sector. The S&amp;P 500 is up ~+5% over the same period, so STLD's ~+12.5% gain represents meaningful alpha even after the June selloff. </w:t>
      </w:r>
      <w:r>
        <w:rPr>
          <w:rFonts w:ascii="Calibri" w:hAnsi="Calibri"/>
          <w:b/>
          <w:color w:val="525866"/>
          <w:sz w:val="22"/>
        </w:rPr>
        <w:t>The stock is not pricing in a beat</w:t>
      </w:r>
      <w:r>
        <w:rPr>
          <w:rFonts w:ascii="Calibri" w:hAnsi="Calibri"/>
          <w:color w:val="525866"/>
          <w:sz w:val="22"/>
        </w:rPr>
        <w:t>: at ~$235, STLD trades at a reasonable multiple relative to the rising FY2026 consensus of ~$16.48 EPS, and the full-year estimate revision (+9.5% since Q1) suggests the market is looking through the Q2 softness to a stronger H2.</w:t>
      </w:r>
    </w:p>
    <w:p>
      <w:r>
        <w:br w:type="page"/>
      </w:r>
    </w:p>
    <w:p>
      <w:pPr>
        <w:pStyle w:val="Heading2"/>
      </w:pPr>
      <w:r>
        <w:rPr>
          <w:rFonts w:ascii="Calibri" w:hAnsi="Calibri"/>
          <w:b/>
          <w:color w:val="3B4259"/>
          <w:sz w:val="28"/>
        </w:rPr>
        <w:t>6. Peer Commentary — Read-Through (Current Reporting Quarter, Last 60 Days)</w:t>
      </w:r>
    </w:p>
    <w:p>
      <w:r>
        <w:rPr>
          <w:rFonts w:ascii="Calibri" w:hAnsi="Calibri"/>
          <w:b/>
          <w:color w:val="525866"/>
          <w:sz w:val="22"/>
        </w:rPr>
        <w:t xml:space="preserve">Key Takeaway: </w:t>
      </w:r>
      <w:r>
        <w:rPr>
          <w:rFonts w:ascii="Calibri" w:hAnsi="Calibri"/>
          <w:color w:val="525866"/>
          <w:sz w:val="22"/>
        </w:rPr>
        <w:t xml:space="preserve">The peer read-through is </w:t>
      </w:r>
      <w:r>
        <w:rPr>
          <w:rFonts w:ascii="Calibri" w:hAnsi="Calibri"/>
          <w:b/>
          <w:color w:val="525866"/>
          <w:sz w:val="22"/>
        </w:rPr>
        <w:t>broadly and consistently POSITIVE</w:t>
      </w:r>
      <w:r>
        <w:rPr>
          <w:rFonts w:ascii="Calibri" w:hAnsi="Calibri"/>
          <w:color w:val="525866"/>
          <w:sz w:val="22"/>
        </w:rPr>
        <w:t xml:space="preserve"> — every major peer that has spoken in the last 60 days points to </w:t>
      </w:r>
      <w:r>
        <w:rPr>
          <w:rFonts w:ascii="Calibri" w:hAnsi="Calibri"/>
          <w:b/>
          <w:color w:val="525866"/>
          <w:sz w:val="22"/>
        </w:rPr>
        <w:t>rising steel prices, stable-to-firm volumes, tightening supply/imports, and healthy non-residential demand</w:t>
      </w:r>
      <w:r>
        <w:rPr>
          <w:rFonts w:ascii="Calibri" w:hAnsi="Calibri"/>
          <w:color w:val="525866"/>
          <w:sz w:val="22"/>
        </w:rPr>
        <w:t xml:space="preserve"> in calendar Q2 2026, all of which are directly supportive of STLD's steel segment; the key swing factor for STLD specifically remains </w:t>
      </w:r>
      <w:r>
        <w:rPr>
          <w:rFonts w:ascii="Calibri" w:hAnsi="Calibri"/>
          <w:b/>
          <w:color w:val="525866"/>
          <w:sz w:val="22"/>
        </w:rPr>
        <w:t>aluminum execution</w:t>
      </w:r>
      <w:r>
        <w:rPr>
          <w:rFonts w:ascii="Calibri" w:hAnsi="Calibri"/>
          <w:color w:val="525866"/>
          <w:sz w:val="22"/>
        </w:rPr>
        <w:t>, where peer commentary is also constructive.</w:t>
      </w:r>
    </w:p>
    <w:p>
      <w:r>
        <w:rPr>
          <w:rFonts w:ascii="Calibri" w:hAnsi="Calibri"/>
          <w:b/>
          <w:color w:val="525866"/>
          <w:sz w:val="22"/>
        </w:rPr>
        <w:t xml:space="preserve">Note: </w:t>
      </w:r>
      <w:r>
        <w:rPr>
          <w:rFonts w:ascii="Calibri" w:hAnsi="Calibri"/>
          <w:i/>
          <w:color w:val="525866"/>
          <w:sz w:val="22"/>
        </w:rPr>
        <w:t xml:space="preserve">Only peer commentary from the last 60 days that pertains to the </w:t>
      </w:r>
      <w:r>
        <w:rPr>
          <w:rFonts w:ascii="Calibri" w:hAnsi="Calibri"/>
          <w:b/>
          <w:i/>
          <w:color w:val="525866"/>
          <w:sz w:val="22"/>
        </w:rPr>
        <w:t>current reporting quarter (calendar Q2 2026)</w:t>
      </w:r>
      <w:r>
        <w:rPr>
          <w:rFonts w:ascii="Calibri" w:hAnsi="Calibri"/>
          <w:i/>
          <w:color w:val="525866"/>
          <w:sz w:val="22"/>
        </w:rPr>
        <w:t xml:space="preserve"> or forward conditions is included below. Peer commentary about prior-quarter results has been excluded.</w:t>
      </w:r>
    </w:p>
    <w:p>
      <w:pPr>
        <w:pStyle w:val="Heading3"/>
      </w:pPr>
      <w:r>
        <w:rPr>
          <w:rFonts w:ascii="Calibri" w:hAnsi="Calibri"/>
          <w:b/>
          <w:color w:val="3B4259"/>
          <w:sz w:val="24"/>
        </w:rPr>
        <w:t>Nucor Corporation (NUE) — Q2 2026 Guidance Pre-Announcement (June 17, 2026)</w:t>
      </w:r>
    </w:p>
    <w:p>
      <w:r>
        <w:rPr>
          <w:rFonts w:ascii="Calibri" w:hAnsi="Calibri"/>
          <w:b/>
          <w:color w:val="525866"/>
          <w:sz w:val="22"/>
        </w:rPr>
        <w:t xml:space="preserve">What NUE Said: </w:t>
      </w:r>
      <w:r>
        <w:rPr>
          <w:rFonts w:ascii="Calibri" w:hAnsi="Calibri"/>
          <w:color w:val="525866"/>
          <w:sz w:val="22"/>
        </w:rPr>
        <w:t xml:space="preserve">Nucor guided Q2 2026 earnings to $4.70–$4.80 per diluted share ($4.50–$4.60 adjusted, excluding a ~$0.20 non-cash benefit from its Helion investment), up sharply from $3.23 in Q1 2026 and $2.60 in Q2 2025. Management expects earnings to </w:t>
      </w:r>
      <w:r>
        <w:rPr>
          <w:rFonts w:ascii="Calibri" w:hAnsi="Calibri"/>
          <w:b/>
          <w:color w:val="525866"/>
          <w:sz w:val="22"/>
        </w:rPr>
        <w:t>increase across all three operating segments sequentially</w:t>
      </w:r>
      <w:r>
        <w:rPr>
          <w:rFonts w:ascii="Calibri" w:hAnsi="Calibri"/>
          <w:color w:val="525866"/>
          <w:sz w:val="22"/>
        </w:rPr>
        <w:t xml:space="preserve">, with the </w:t>
      </w:r>
      <w:r>
        <w:rPr>
          <w:rFonts w:ascii="Calibri" w:hAnsi="Calibri"/>
          <w:b/>
          <w:color w:val="525866"/>
          <w:sz w:val="22"/>
        </w:rPr>
        <w:t>largest increase in the steel mills segment</w:t>
      </w:r>
      <w:r>
        <w:rPr>
          <w:rFonts w:ascii="Calibri" w:hAnsi="Calibri"/>
          <w:color w:val="525866"/>
          <w:sz w:val="22"/>
        </w:rPr>
        <w:t xml:space="preserve"> — driven by higher average selling prices and stable volumes. The steel mills segment also benefits from approximately $130 million in cash refunds associated with prior-period raw materials procurement costs. In the steel products segment, NUE expects higher earnings from increased volumes and slightly higher average realized pricing. The raw materials segment is also expected to post higher earnings on higher average realized prices. As of June 17, NUE had repurchased ~1.12 million shares at an average price of $223.47 in Q2, returning ~$630 million to shareholders year-to-date.</w:t>
      </w:r>
    </w:p>
    <w:p>
      <w:r>
        <w:rPr>
          <w:rFonts w:ascii="Calibri" w:hAnsi="Calibri"/>
          <w:b/>
          <w:color w:val="525866"/>
          <w:sz w:val="22"/>
        </w:rPr>
        <w:t xml:space="preserve">Read-Through for STLD: </w:t>
      </w:r>
      <w:r>
        <w:rPr>
          <w:rFonts w:ascii="Calibri" w:hAnsi="Calibri"/>
          <w:b/>
          <w:color w:val="30A46C"/>
          <w:sz w:val="22"/>
        </w:rPr>
        <w:t xml:space="preserve">STRONGLY POSITIVE. </w:t>
      </w:r>
      <w:r>
        <w:rPr>
          <w:rFonts w:ascii="Calibri" w:hAnsi="Calibri"/>
          <w:color w:val="525866"/>
          <w:sz w:val="22"/>
        </w:rPr>
        <w:t>NUE's Q2 guidance is the single most direct read-through for STLD's steel segment. Rising sheet/flat-rolled realized prices and stable volumes are exactly what STLD's steel operations should show in Q2 2026. NUE's sequential earnings increase across all segments — with the largest gain in steel mills — directly corroborates the consensus expectation for STLD's steel operating income to rise from $646M in Q1 to ~$793M in Q2. The $130M raw materials refund is NUE-specific and does not apply to STLD, but the underlying pricing and volume commentary is directly applicable. NUE reports Q2 on July 27, after STLD, so this guidance is the most current and relevant data point available.</w:t>
      </w:r>
    </w:p>
    <w:p>
      <w:r>
        <w:rPr>
          <w:rFonts w:ascii="Calibri" w:hAnsi="Calibri"/>
          <w:i/>
          <w:color w:val="525866"/>
          <w:sz w:val="22"/>
        </w:rPr>
        <w:t>Source: Nucor Corporation Q2 2026 Earnings Guidance Press Release, June 17, 2026.</w:t>
      </w:r>
    </w:p>
    <w:p>
      <w:pPr>
        <w:pStyle w:val="Heading3"/>
      </w:pPr>
      <w:r>
        <w:rPr>
          <w:rFonts w:ascii="Calibri" w:hAnsi="Calibri"/>
          <w:b/>
          <w:color w:val="3B4259"/>
          <w:sz w:val="24"/>
        </w:rPr>
        <w:t>Commercial Metals Company (CMC) — Fiscal Q3 2026 Earnings Call (June 25, 2026)</w:t>
      </w:r>
    </w:p>
    <w:p>
      <w:r>
        <w:rPr>
          <w:rFonts w:ascii="Calibri" w:hAnsi="Calibri"/>
          <w:b/>
          <w:color w:val="525866"/>
          <w:sz w:val="22"/>
        </w:rPr>
        <w:t xml:space="preserve">What CMC Said (Forward Commentary on Calendar Q2 / Summer 2026): </w:t>
      </w:r>
      <w:r>
        <w:rPr>
          <w:rFonts w:ascii="Calibri" w:hAnsi="Calibri"/>
          <w:color w:val="525866"/>
          <w:sz w:val="22"/>
        </w:rPr>
        <w:t xml:space="preserve">CMC's fiscal Q3 covers March–May 2026, and management's forward commentary on their fiscal Q4 (June–August 2026) is directly relevant to STLD's calendar Q2. CMC expects a </w:t>
      </w:r>
      <w:r>
        <w:rPr>
          <w:rFonts w:ascii="Calibri" w:hAnsi="Calibri"/>
          <w:b/>
          <w:color w:val="525866"/>
          <w:sz w:val="22"/>
        </w:rPr>
        <w:t>"meaningful sequential increase in core EBITDA"</w:t>
      </w:r>
      <w:r>
        <w:rPr>
          <w:rFonts w:ascii="Calibri" w:hAnsi="Calibri"/>
          <w:color w:val="525866"/>
          <w:sz w:val="22"/>
        </w:rPr>
        <w:t xml:space="preserve"> for the coming quarter, with "underlying business fundamentals remain firmly intact and in many cases are improving." Key points:</w:t>
      </w:r>
    </w:p>
    <w:p>
      <w:pPr>
        <w:pStyle w:val="ListBullet"/>
        <w:ind w:left="360" w:hanging="360"/>
      </w:pPr>
      <w:r>
        <w:rPr>
          <w:rFonts w:ascii="Calibri" w:hAnsi="Calibri"/>
          <w:b/>
          <w:color w:val="525866"/>
          <w:sz w:val="22"/>
        </w:rPr>
        <w:t xml:space="preserve">Pricing &amp; Margins: </w:t>
      </w:r>
      <w:r>
        <w:rPr>
          <w:rFonts w:ascii="Calibri" w:hAnsi="Calibri"/>
          <w:color w:val="525866"/>
          <w:sz w:val="22"/>
        </w:rPr>
        <w:t>"Previously announced steel price increases are in the market, taking hold and yielding higher metal margins." CMC is "realizing increased pricing across the country" and expects prices and margins to be higher in the coming quarter. Scrap costs are expected to remain "relatively stable" for the balance of the fiscal year.</w:t>
      </w:r>
    </w:p>
    <w:p>
      <w:pPr>
        <w:pStyle w:val="ListBullet"/>
        <w:ind w:left="360" w:hanging="360"/>
      </w:pPr>
      <w:r>
        <w:rPr>
          <w:rFonts w:ascii="Calibri" w:hAnsi="Calibri"/>
          <w:b/>
          <w:color w:val="525866"/>
          <w:sz w:val="22"/>
        </w:rPr>
        <w:t xml:space="preserve">Shipments &amp; Demand: </w:t>
      </w:r>
      <w:r>
        <w:rPr>
          <w:rFonts w:ascii="Calibri" w:hAnsi="Calibri"/>
          <w:color w:val="525866"/>
          <w:sz w:val="22"/>
        </w:rPr>
        <w:t>"Weather conditions have normalized thus far in Q4, and our steel and precast shipments are seeing strength." Downstream bookings grew more than 9% year-over-year in Q3. Demand is increasingly driven by "a growing pipeline of large-scale mega projects" — data centers, semiconductor capacity, and energy networks — with a significant concentration in the Sunbelt and East Coast.</w:t>
      </w:r>
    </w:p>
    <w:p>
      <w:pPr>
        <w:pStyle w:val="ListBullet"/>
        <w:ind w:left="360" w:hanging="360"/>
      </w:pPr>
      <w:r>
        <w:rPr>
          <w:rFonts w:ascii="Calibri" w:hAnsi="Calibri"/>
          <w:b/>
          <w:color w:val="525866"/>
          <w:sz w:val="22"/>
        </w:rPr>
        <w:t xml:space="preserve">Supply / Imports: </w:t>
      </w:r>
      <w:r>
        <w:rPr>
          <w:rFonts w:ascii="Calibri" w:hAnsi="Calibri"/>
          <w:color w:val="525866"/>
          <w:sz w:val="22"/>
        </w:rPr>
        <w:t>CMC views the steel market as "balanced with incremental domestic capacity being absorbed while prices are trending higher." Imports (primarily from South Korea) are expected to decline in H2 as the economics of importing at current prices are not competitive. CMC has initiated discussions with the U.S. government about supply from South Korea and other countries.</w:t>
      </w:r>
    </w:p>
    <w:p>
      <w:pPr>
        <w:pStyle w:val="ListBullet"/>
        <w:ind w:left="360" w:hanging="360"/>
      </w:pPr>
      <w:r>
        <w:rPr>
          <w:rFonts w:ascii="Calibri" w:hAnsi="Calibri"/>
          <w:b/>
          <w:color w:val="525866"/>
          <w:sz w:val="22"/>
        </w:rPr>
        <w:t xml:space="preserve">Construction End Markets: </w:t>
      </w:r>
      <w:r>
        <w:rPr>
          <w:rFonts w:ascii="Calibri" w:hAnsi="Calibri"/>
          <w:color w:val="525866"/>
          <w:sz w:val="22"/>
        </w:rPr>
        <w:t>Infrastructure spending steady (&gt;50% of IIJA funding yet to be spent); residential demand "remains broadly subdued" with pockets of resilience; non-residential/mega-project demand "very strong." Institutional spending to replace aging facilities also strong.</w:t>
      </w:r>
    </w:p>
    <w:p>
      <w:r>
        <w:rPr>
          <w:rFonts w:ascii="Calibri" w:hAnsi="Calibri"/>
          <w:b/>
          <w:color w:val="525866"/>
          <w:sz w:val="22"/>
        </w:rPr>
        <w:t xml:space="preserve">Read-Through for STLD: </w:t>
      </w:r>
      <w:r>
        <w:rPr>
          <w:rFonts w:ascii="Calibri" w:hAnsi="Calibri"/>
          <w:b/>
          <w:color w:val="30A46C"/>
          <w:sz w:val="22"/>
        </w:rPr>
        <w:t xml:space="preserve">POSITIVE. </w:t>
      </w:r>
      <w:r>
        <w:rPr>
          <w:rFonts w:ascii="Calibri" w:hAnsi="Calibri"/>
          <w:color w:val="525866"/>
          <w:sz w:val="22"/>
        </w:rPr>
        <w:t>CMC's forward commentary directly confirms the three key drivers of STLD's Q2 steel profitability: (1) rising steel prices with price increases "taking hold," (2) widening metal margins as scrap costs remain stable, and (3) firm non-residential/infrastructure demand supporting volumes. The mega-project pipeline (data centers, energy, infrastructure) is particularly relevant to STLD's flat-rolled and structural products. The import commentary — South Korean supply expected to decline on trade policy and uncompetitive economics — is a structural positive for domestic steel pricing into H2 2026.</w:t>
      </w:r>
    </w:p>
    <w:p>
      <w:r>
        <w:rPr>
          <w:rFonts w:ascii="Calibri" w:hAnsi="Calibri"/>
          <w:i/>
          <w:color w:val="525866"/>
          <w:sz w:val="22"/>
        </w:rPr>
        <w:t>Source: Commercial Metals Company Fiscal Q3 2026 Earnings Call Transcript, June 25, 2026.</w:t>
      </w:r>
    </w:p>
    <w:p>
      <w:pPr>
        <w:pStyle w:val="Heading3"/>
      </w:pPr>
      <w:r>
        <w:rPr>
          <w:rFonts w:ascii="Calibri" w:hAnsi="Calibri"/>
          <w:b/>
          <w:color w:val="3B4259"/>
          <w:sz w:val="24"/>
        </w:rPr>
        <w:t>Reliance, Inc. (RS) — Wells Fargo Industrials &amp; Materials Conference (June 9, 2026)</w:t>
      </w:r>
    </w:p>
    <w:p>
      <w:r>
        <w:rPr>
          <w:rFonts w:ascii="Calibri" w:hAnsi="Calibri"/>
          <w:b/>
          <w:color w:val="525866"/>
          <w:sz w:val="22"/>
        </w:rPr>
        <w:t xml:space="preserve">What RS Said (Real-Time Mid-Q2 Commentary): </w:t>
      </w:r>
      <w:r>
        <w:rPr>
          <w:rFonts w:ascii="Calibri" w:hAnsi="Calibri"/>
          <w:color w:val="525866"/>
          <w:sz w:val="22"/>
        </w:rPr>
        <w:t>Reliance's COO Stephen Koch and CEO Karla Lewis provided real-time mid-Q2 market color at the Wells Fargo conference on June 9, 2026 — squarely within STLD's current reporting quarter. Key points:</w:t>
      </w:r>
    </w:p>
    <w:p>
      <w:pPr>
        <w:pStyle w:val="ListBullet"/>
        <w:ind w:left="360" w:hanging="360"/>
      </w:pPr>
      <w:r>
        <w:rPr>
          <w:rFonts w:ascii="Calibri" w:hAnsi="Calibri"/>
          <w:b/>
          <w:color w:val="525866"/>
          <w:sz w:val="22"/>
        </w:rPr>
        <w:t xml:space="preserve">Overall Market Tone: </w:t>
      </w:r>
      <w:r>
        <w:rPr>
          <w:rFonts w:ascii="Calibri" w:hAnsi="Calibri"/>
          <w:color w:val="525866"/>
          <w:sz w:val="22"/>
        </w:rPr>
        <w:t>Koch described the market as a "mad scramble" on some days, stating that "demand is absolutely getting better and the mill tightness is real." "Prices are at a great level. Everybody can make a fair profit."</w:t>
      </w:r>
    </w:p>
    <w:p>
      <w:pPr>
        <w:pStyle w:val="ListBullet"/>
        <w:ind w:left="360" w:hanging="360"/>
      </w:pPr>
      <w:r>
        <w:rPr>
          <w:rFonts w:ascii="Calibri" w:hAnsi="Calibri"/>
          <w:b/>
          <w:color w:val="525866"/>
          <w:sz w:val="22"/>
        </w:rPr>
        <w:t xml:space="preserve">Flat-Rolled / Sheet: </w:t>
      </w:r>
      <w:r>
        <w:rPr>
          <w:rFonts w:ascii="Calibri" w:hAnsi="Calibri"/>
          <w:color w:val="525866"/>
          <w:sz w:val="22"/>
        </w:rPr>
        <w:t>Flat-rolled products described as "kind of tight" with galvanized margins "improving a little bit." Beams are "close to sold out" at record prices with lead times "never this far extended."</w:t>
      </w:r>
    </w:p>
    <w:p>
      <w:pPr>
        <w:pStyle w:val="ListBullet"/>
        <w:ind w:left="360" w:hanging="360"/>
      </w:pPr>
      <w:r>
        <w:rPr>
          <w:rFonts w:ascii="Calibri" w:hAnsi="Calibri"/>
          <w:b/>
          <w:color w:val="525866"/>
          <w:sz w:val="22"/>
        </w:rPr>
        <w:t xml:space="preserve">Plate: </w:t>
      </w:r>
      <w:r>
        <w:rPr>
          <w:rFonts w:ascii="Calibri" w:hAnsi="Calibri"/>
          <w:color w:val="525866"/>
          <w:sz w:val="22"/>
        </w:rPr>
        <w:t>Plate is "one of the nice stories of 2026" — rebounding from a soft period, now trading above hot-rolled coil, with recent price hikes. Driven by energy, shipbuilding, and defense spending.</w:t>
      </w:r>
    </w:p>
    <w:p>
      <w:pPr>
        <w:pStyle w:val="ListBullet"/>
        <w:ind w:left="360" w:hanging="360"/>
      </w:pPr>
      <w:r>
        <w:rPr>
          <w:rFonts w:ascii="Calibri" w:hAnsi="Calibri"/>
          <w:b/>
          <w:color w:val="525866"/>
          <w:sz w:val="22"/>
        </w:rPr>
        <w:t xml:space="preserve">Demand by End Market: </w:t>
      </w:r>
      <w:r>
        <w:rPr>
          <w:rFonts w:ascii="Calibri" w:hAnsi="Calibri"/>
          <w:color w:val="525866"/>
          <w:sz w:val="22"/>
        </w:rPr>
        <w:t>Nonresidential construction (Reliance's largest end market) "held up" and was a "good market." Data centers are a significant positive driver — "almost every one of our companies talk about something they were doing for data centers." Government spending and infrastructure are positive. Automotive: "not seen a significant slowdown."</w:t>
      </w:r>
    </w:p>
    <w:p>
      <w:pPr>
        <w:pStyle w:val="ListBullet"/>
        <w:ind w:left="360" w:hanging="360"/>
      </w:pPr>
      <w:r>
        <w:rPr>
          <w:rFonts w:ascii="Calibri" w:hAnsi="Calibri"/>
          <w:b/>
          <w:color w:val="525866"/>
          <w:sz w:val="22"/>
        </w:rPr>
        <w:t xml:space="preserve">Border Fence Contract: </w:t>
      </w:r>
      <w:r>
        <w:rPr>
          <w:rFonts w:ascii="Calibri" w:hAnsi="Calibri"/>
          <w:color w:val="525866"/>
          <w:sz w:val="22"/>
        </w:rPr>
        <w:t>Reliance was awarded a $2.2B border fence contract (primarily carbon steel tubing), providing significant volume with low operating cost — accretive to bottom-line profitability.</w:t>
      </w:r>
    </w:p>
    <w:p>
      <w:pPr>
        <w:pStyle w:val="ListBullet"/>
        <w:ind w:left="360" w:hanging="360"/>
      </w:pPr>
      <w:r>
        <w:rPr>
          <w:rFonts w:ascii="Calibri" w:hAnsi="Calibri"/>
          <w:b/>
          <w:color w:val="525866"/>
          <w:sz w:val="22"/>
        </w:rPr>
        <w:t xml:space="preserve">Aluminum: </w:t>
      </w:r>
      <w:r>
        <w:rPr>
          <w:rFonts w:ascii="Calibri" w:hAnsi="Calibri"/>
          <w:color w:val="525866"/>
          <w:sz w:val="22"/>
        </w:rPr>
        <w:t>RS flagged potential aluminum tightening/shortage risk by end of summer, corroborating STLD management's view that aluminum spreads are structurally above through-cycle assumptions.</w:t>
      </w:r>
    </w:p>
    <w:p>
      <w:r>
        <w:rPr>
          <w:rFonts w:ascii="Calibri" w:hAnsi="Calibri"/>
          <w:b/>
          <w:color w:val="525866"/>
          <w:sz w:val="22"/>
        </w:rPr>
        <w:t xml:space="preserve">Read-Through for STLD: </w:t>
      </w:r>
      <w:r>
        <w:rPr>
          <w:rFonts w:ascii="Calibri" w:hAnsi="Calibri"/>
          <w:b/>
          <w:color w:val="30A46C"/>
          <w:sz w:val="22"/>
        </w:rPr>
        <w:t xml:space="preserve">POSITIVE. </w:t>
      </w:r>
      <w:r>
        <w:rPr>
          <w:rFonts w:ascii="Calibri" w:hAnsi="Calibri"/>
          <w:color w:val="525866"/>
          <w:sz w:val="22"/>
        </w:rPr>
        <w:t>Reliance's real-time mid-Q2 commentary is the most current market read available. The "mad scramble" characterization, mill tightness, record beam prices, and firming flat-rolled/plate pricing all corroborate a strong steel pricing environment for STLD's Q2 steel operations. The data center and infrastructure demand commentary is directly relevant to STLD's flat-rolled and structural product mix. On aluminum, RS's flagging of tightening/shortage risk by end of summer aligns with STLD management's view that aluminum spreads are structurally above through-cycle assumptions — a positive read for Aluminum Dynamics' trajectory into H2 2026.</w:t>
      </w:r>
    </w:p>
    <w:p>
      <w:r>
        <w:rPr>
          <w:rFonts w:ascii="Calibri" w:hAnsi="Calibri"/>
          <w:i/>
          <w:color w:val="525866"/>
          <w:sz w:val="22"/>
        </w:rPr>
        <w:t>Source: Reliance, Inc. Wells Fargo 16th Annual Industrials &amp; Materials Conference Transcript, June 9, 2026.</w:t>
      </w:r>
    </w:p>
    <w:p>
      <w:pPr>
        <w:pStyle w:val="Heading3"/>
      </w:pPr>
      <w:r>
        <w:rPr>
          <w:rFonts w:ascii="Calibri" w:hAnsi="Calibri"/>
          <w:b/>
          <w:color w:val="3B4259"/>
          <w:sz w:val="24"/>
        </w:rPr>
        <w:t>Peer Read-Through Synthesis</w:t>
      </w:r>
    </w:p>
    <w:p>
      <w:r>
        <w:rPr>
          <w:rFonts w:ascii="Calibri" w:hAnsi="Calibri"/>
          <w:color w:val="525866"/>
          <w:sz w:val="22"/>
        </w:rPr>
        <w:t xml:space="preserve">The peer read-through is </w:t>
      </w:r>
      <w:r>
        <w:rPr>
          <w:rFonts w:ascii="Calibri" w:hAnsi="Calibri"/>
          <w:b/>
          <w:color w:val="525866"/>
          <w:sz w:val="22"/>
        </w:rPr>
        <w:t>broadly and consistently positive</w:t>
      </w:r>
      <w:r>
        <w:rPr>
          <w:rFonts w:ascii="Calibri" w:hAnsi="Calibri"/>
          <w:color w:val="525866"/>
          <w:sz w:val="22"/>
        </w:rPr>
        <w:t xml:space="preserve"> across all three sources: NUE's Q2 guidance (rising steel prices, higher volumes, sequential earnings increase across all segments), CMC's forward commentary (price increases taking hold, metal margins widening, scrap stable, mega-project demand strong), and RS's real-time mid-Q2 color (mill tightness real, demand getting better, flat-rolled/plate firming) all point to a favorable steel pricing and demand environment for STLD's Q2 2026 print. The key swing factor for STLD specifically remains </w:t>
      </w:r>
      <w:r>
        <w:rPr>
          <w:rFonts w:ascii="Calibri" w:hAnsi="Calibri"/>
          <w:b/>
          <w:color w:val="525866"/>
          <w:sz w:val="22"/>
        </w:rPr>
        <w:t>aluminum execution</w:t>
      </w:r>
      <w:r>
        <w:rPr>
          <w:rFonts w:ascii="Calibri" w:hAnsi="Calibri"/>
          <w:color w:val="525866"/>
          <w:sz w:val="22"/>
        </w:rPr>
        <w:t xml:space="preserve"> — where RS's commentary on aluminum tightening/shortage risk is also constructive and aligns with management's own signaling of structurally higher aluminum spreads. </w:t>
      </w:r>
      <w:r>
        <w:rPr>
          <w:rFonts w:ascii="Calibri" w:hAnsi="Calibri"/>
          <w:b/>
          <w:color w:val="525866"/>
          <w:sz w:val="22"/>
        </w:rPr>
        <w:t>Important caveat</w:t>
      </w:r>
      <w:r>
        <w:rPr>
          <w:rFonts w:ascii="Calibri" w:hAnsi="Calibri"/>
          <w:color w:val="525866"/>
          <w:sz w:val="22"/>
        </w:rPr>
        <w:t>: the Street has already cut STLD's Q2 EPS estimate ~10% to reflect the company's own guidance ($3.51–$3.55), so the bar for a steel-driven beat is reasonable; the more impactful catalyst would be management formally revising through-cycle aluminum EBITDA targets upward on the Q2 call, which would drive FY2027 estimate revisions and a potential re-rating of the stock.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Key Message for STLD</w:t>
            </w:r>
          </w:p>
        </w:tc>
        <w:tc>
          <w:tcPr>
            <w:tcW w:type="dxa" w:w="1728"/>
            <w:shd w:val="clear" w:color="auto" w:fill="3B4259"/>
          </w:tcPr>
          <w:p>
            <w:r>
              <w:rPr>
                <w:rFonts w:ascii="Calibri" w:hAnsi="Calibri"/>
                <w:b/>
                <w:color w:val="FFFFFF"/>
                <w:sz w:val="22"/>
              </w:rPr>
              <w:t>Read-Through Signal</w:t>
            </w:r>
          </w:p>
        </w:tc>
      </w:tr>
      <w:tr>
        <w:tc>
          <w:tcPr>
            <w:tcW w:type="dxa" w:w="1728"/>
          </w:tcPr>
          <w:p>
            <w:r>
              <w:rPr>
                <w:rFonts w:ascii="Calibri" w:hAnsi="Calibri"/>
                <w:sz w:val="22"/>
              </w:rPr>
              <w:t>NUE (Nucor)</w:t>
            </w:r>
          </w:p>
        </w:tc>
        <w:tc>
          <w:tcPr>
            <w:tcW w:type="dxa" w:w="1728"/>
          </w:tcPr>
          <w:p>
            <w:r>
              <w:rPr>
                <w:rFonts w:ascii="Calibri" w:hAnsi="Calibri"/>
                <w:sz w:val="22"/>
              </w:rPr>
              <w:t>Jun 17, 2026</w:t>
            </w:r>
          </w:p>
        </w:tc>
        <w:tc>
          <w:tcPr>
            <w:tcW w:type="dxa" w:w="1728"/>
          </w:tcPr>
          <w:p>
            <w:r>
              <w:rPr>
                <w:rFonts w:ascii="Calibri" w:hAnsi="Calibri"/>
                <w:sz w:val="22"/>
              </w:rPr>
              <w:t>Q2 2026 Guidance Pre-Announcement</w:t>
            </w:r>
          </w:p>
        </w:tc>
        <w:tc>
          <w:tcPr>
            <w:tcW w:type="dxa" w:w="1728"/>
          </w:tcPr>
          <w:p>
            <w:r>
              <w:rPr>
                <w:rFonts w:ascii="Calibri" w:hAnsi="Calibri"/>
                <w:sz w:val="22"/>
              </w:rPr>
              <w:t>Q2 EPS $4.50–$4.60 adj., up from $3.23 in Q1; all segments up sequentially; steel mills largest increase on higher ASPs and stable volumes</w:t>
            </w:r>
          </w:p>
        </w:tc>
        <w:tc>
          <w:tcPr>
            <w:tcW w:type="dxa" w:w="1728"/>
          </w:tcPr>
          <w:p>
            <w:r>
              <w:rPr>
                <w:rFonts w:ascii="Calibri" w:hAnsi="Calibri"/>
                <w:b/>
                <w:color w:val="30A46C"/>
                <w:sz w:val="22"/>
              </w:rPr>
              <w:t>STRONGLY POSITIVE</w:t>
            </w:r>
          </w:p>
        </w:tc>
      </w:tr>
      <w:tr>
        <w:tc>
          <w:tcPr>
            <w:tcW w:type="dxa" w:w="1728"/>
          </w:tcPr>
          <w:p>
            <w:r>
              <w:rPr>
                <w:rFonts w:ascii="Calibri" w:hAnsi="Calibri"/>
                <w:sz w:val="22"/>
              </w:rPr>
              <w:t>CMC (Commercial Metals)</w:t>
            </w:r>
          </w:p>
        </w:tc>
        <w:tc>
          <w:tcPr>
            <w:tcW w:type="dxa" w:w="1728"/>
          </w:tcPr>
          <w:p>
            <w:r>
              <w:rPr>
                <w:rFonts w:ascii="Calibri" w:hAnsi="Calibri"/>
                <w:sz w:val="22"/>
              </w:rPr>
              <w:t>Jun 25, 2026</w:t>
            </w:r>
          </w:p>
        </w:tc>
        <w:tc>
          <w:tcPr>
            <w:tcW w:type="dxa" w:w="1728"/>
          </w:tcPr>
          <w:p>
            <w:r>
              <w:rPr>
                <w:rFonts w:ascii="Calibri" w:hAnsi="Calibri"/>
                <w:sz w:val="22"/>
              </w:rPr>
              <w:t>Fiscal Q3 2026 Earnings Call (forward commentary on calendar Q2)</w:t>
            </w:r>
          </w:p>
        </w:tc>
        <w:tc>
          <w:tcPr>
            <w:tcW w:type="dxa" w:w="1728"/>
          </w:tcPr>
          <w:p>
            <w:r>
              <w:rPr>
                <w:rFonts w:ascii="Calibri" w:hAnsi="Calibri"/>
                <w:sz w:val="22"/>
              </w:rPr>
              <w:t>Price increases taking hold, metal margins widening, scrap stable, shipments strong, mega-project demand robust, imports declining</w:t>
            </w:r>
          </w:p>
        </w:tc>
        <w:tc>
          <w:tcPr>
            <w:tcW w:type="dxa" w:w="1728"/>
          </w:tcPr>
          <w:p>
            <w:r>
              <w:rPr>
                <w:rFonts w:ascii="Calibri" w:hAnsi="Calibri"/>
                <w:b/>
                <w:color w:val="30A46C"/>
                <w:sz w:val="22"/>
              </w:rPr>
              <w:t>POSITIVE</w:t>
            </w:r>
          </w:p>
        </w:tc>
      </w:tr>
      <w:tr>
        <w:tc>
          <w:tcPr>
            <w:tcW w:type="dxa" w:w="1728"/>
          </w:tcPr>
          <w:p>
            <w:r>
              <w:rPr>
                <w:rFonts w:ascii="Calibri" w:hAnsi="Calibri"/>
                <w:sz w:val="22"/>
              </w:rPr>
              <w:t>RS (Reliance)</w:t>
            </w:r>
          </w:p>
        </w:tc>
        <w:tc>
          <w:tcPr>
            <w:tcW w:type="dxa" w:w="1728"/>
          </w:tcPr>
          <w:p>
            <w:r>
              <w:rPr>
                <w:rFonts w:ascii="Calibri" w:hAnsi="Calibri"/>
                <w:sz w:val="22"/>
              </w:rPr>
              <w:t>Jun 9, 2026</w:t>
            </w:r>
          </w:p>
        </w:tc>
        <w:tc>
          <w:tcPr>
            <w:tcW w:type="dxa" w:w="1728"/>
          </w:tcPr>
          <w:p>
            <w:r>
              <w:rPr>
                <w:rFonts w:ascii="Calibri" w:hAnsi="Calibri"/>
                <w:sz w:val="22"/>
              </w:rPr>
              <w:t>Wells Fargo Conference (real-time mid-Q2 commentary)</w:t>
            </w:r>
          </w:p>
        </w:tc>
        <w:tc>
          <w:tcPr>
            <w:tcW w:type="dxa" w:w="1728"/>
          </w:tcPr>
          <w:p>
            <w:r>
              <w:rPr>
                <w:rFonts w:ascii="Calibri" w:hAnsi="Calibri"/>
                <w:sz w:val="22"/>
              </w:rPr>
              <w:t>"Mad scramble," mill tightness real, demand getting better, flat-rolled/plate firming, beams at record prices; aluminum shortage risk by end of summer</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meaningful insider signal heading into the Q2 print — the only open-market sales occurred in late April around the Q1 earnings event, and all subsequent activity has been routine director stock grants (non-cash awards) and a small tax-withholding disposition; </w:t>
      </w:r>
      <w:r>
        <w:rPr>
          <w:rFonts w:ascii="Calibri" w:hAnsi="Calibri"/>
          <w:b/>
          <w:color w:val="525866"/>
          <w:sz w:val="22"/>
        </w:rPr>
        <w:t>no directional insider buying or selling since the Q1 print</w:t>
      </w:r>
      <w:r>
        <w:rPr>
          <w:rFonts w:ascii="Calibri" w:hAnsi="Calibri"/>
          <w:color w:val="525866"/>
          <w:sz w:val="22"/>
        </w:rPr>
        <w: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Miguel Alvarez</w:t>
            </w:r>
          </w:p>
        </w:tc>
        <w:tc>
          <w:tcPr>
            <w:tcW w:type="dxa" w:w="1440"/>
          </w:tcPr>
          <w:p>
            <w:r>
              <w:rPr>
                <w:rFonts w:ascii="Calibri" w:hAnsi="Calibri"/>
                <w:sz w:val="22"/>
              </w:rPr>
              <w:t>Senior Vice President</w:t>
            </w:r>
          </w:p>
        </w:tc>
        <w:tc>
          <w:tcPr>
            <w:tcW w:type="dxa" w:w="1440"/>
          </w:tcPr>
          <w:p>
            <w:r>
              <w:rPr>
                <w:rFonts w:ascii="Calibri" w:hAnsi="Calibri"/>
                <w:sz w:val="22"/>
              </w:rPr>
              <w:t>Open-Market Sale (S)</w:t>
            </w:r>
          </w:p>
        </w:tc>
        <w:tc>
          <w:tcPr>
            <w:tcW w:type="dxa" w:w="1440"/>
          </w:tcPr>
          <w:p>
            <w:r>
              <w:rPr>
                <w:rFonts w:ascii="Calibri" w:hAnsi="Calibri"/>
                <w:sz w:val="22"/>
              </w:rPr>
              <w:t>4,825 shares</w:t>
            </w:r>
          </w:p>
        </w:tc>
        <w:tc>
          <w:tcPr>
            <w:tcW w:type="dxa" w:w="1440"/>
          </w:tcPr>
          <w:p>
            <w:r>
              <w:rPr>
                <w:rFonts w:ascii="Calibri" w:hAnsi="Calibri"/>
                <w:sz w:val="22"/>
              </w:rPr>
              <w:t>Apr 23, 2026</w:t>
            </w:r>
          </w:p>
        </w:tc>
        <w:tc>
          <w:tcPr>
            <w:tcW w:type="dxa" w:w="1440"/>
          </w:tcPr>
          <w:p>
            <w:r>
              <w:rPr>
                <w:rFonts w:ascii="Calibri" w:hAnsi="Calibri"/>
                <w:sz w:val="22"/>
              </w:rPr>
              <w:t>Around Q1 earnings; small relative to holdings (122,257 shares post-sale); not a directional signal</w:t>
            </w:r>
          </w:p>
        </w:tc>
      </w:tr>
      <w:tr>
        <w:tc>
          <w:tcPr>
            <w:tcW w:type="dxa" w:w="1440"/>
          </w:tcPr>
          <w:p>
            <w:r>
              <w:rPr>
                <w:rFonts w:ascii="Calibri" w:hAnsi="Calibri"/>
                <w:sz w:val="22"/>
              </w:rPr>
              <w:t>Kenneth W. Cornew</w:t>
            </w:r>
          </w:p>
        </w:tc>
        <w:tc>
          <w:tcPr>
            <w:tcW w:type="dxa" w:w="1440"/>
          </w:tcPr>
          <w:p>
            <w:r>
              <w:rPr>
                <w:rFonts w:ascii="Calibri" w:hAnsi="Calibri"/>
                <w:sz w:val="22"/>
              </w:rPr>
              <w:t>Director</w:t>
            </w:r>
          </w:p>
        </w:tc>
        <w:tc>
          <w:tcPr>
            <w:tcW w:type="dxa" w:w="1440"/>
          </w:tcPr>
          <w:p>
            <w:r>
              <w:rPr>
                <w:rFonts w:ascii="Calibri" w:hAnsi="Calibri"/>
                <w:sz w:val="22"/>
              </w:rPr>
              <w:t>Open-Market Sale (S)</w:t>
            </w:r>
          </w:p>
        </w:tc>
        <w:tc>
          <w:tcPr>
            <w:tcW w:type="dxa" w:w="1440"/>
          </w:tcPr>
          <w:p>
            <w:r>
              <w:rPr>
                <w:rFonts w:ascii="Calibri" w:hAnsi="Calibri"/>
                <w:sz w:val="22"/>
              </w:rPr>
              <w:t>5,000 shares</w:t>
            </w:r>
          </w:p>
        </w:tc>
        <w:tc>
          <w:tcPr>
            <w:tcW w:type="dxa" w:w="1440"/>
          </w:tcPr>
          <w:p>
            <w:r>
              <w:rPr>
                <w:rFonts w:ascii="Calibri" w:hAnsi="Calibri"/>
                <w:sz w:val="22"/>
              </w:rPr>
              <w:t>Apr 23, 2026</w:t>
            </w:r>
          </w:p>
        </w:tc>
        <w:tc>
          <w:tcPr>
            <w:tcW w:type="dxa" w:w="1440"/>
          </w:tcPr>
          <w:p>
            <w:r>
              <w:rPr>
                <w:rFonts w:ascii="Calibri" w:hAnsi="Calibri"/>
                <w:sz w:val="22"/>
              </w:rPr>
              <w:t>Around Q1 earnings; 5,000 shares vs. 31,299 post-sale holdings; routine in size; not a directional signal</w:t>
            </w:r>
          </w:p>
        </w:tc>
      </w:tr>
      <w:tr>
        <w:tc>
          <w:tcPr>
            <w:tcW w:type="dxa" w:w="1440"/>
          </w:tcPr>
          <w:p>
            <w:r>
              <w:rPr>
                <w:rFonts w:ascii="Calibri" w:hAnsi="Calibri"/>
                <w:sz w:val="22"/>
              </w:rPr>
              <w:t>Multiple Directors (Bargabos, Cornew, Dolan, Hamann, Seaman, Sierra)</w:t>
            </w:r>
          </w:p>
        </w:tc>
        <w:tc>
          <w:tcPr>
            <w:tcW w:type="dxa" w:w="1440"/>
          </w:tcPr>
          <w:p>
            <w:r>
              <w:rPr>
                <w:rFonts w:ascii="Calibri" w:hAnsi="Calibri"/>
                <w:sz w:val="22"/>
              </w:rPr>
              <w:t>Directors</w:t>
            </w:r>
          </w:p>
        </w:tc>
        <w:tc>
          <w:tcPr>
            <w:tcW w:type="dxa" w:w="1440"/>
          </w:tcPr>
          <w:p>
            <w:r>
              <w:rPr>
                <w:rFonts w:ascii="Calibri" w:hAnsi="Calibri"/>
                <w:sz w:val="22"/>
              </w:rPr>
              <w:t>Stock Grant (A) — Non-Cash Award</w:t>
            </w:r>
          </w:p>
        </w:tc>
        <w:tc>
          <w:tcPr>
            <w:tcW w:type="dxa" w:w="1440"/>
          </w:tcPr>
          <w:p>
            <w:r>
              <w:rPr>
                <w:rFonts w:ascii="Calibri" w:hAnsi="Calibri"/>
                <w:sz w:val="22"/>
              </w:rPr>
              <w:t>Various small amounts (2–158 shares each)</w:t>
            </w:r>
          </w:p>
        </w:tc>
        <w:tc>
          <w:tcPr>
            <w:tcW w:type="dxa" w:w="1440"/>
          </w:tcPr>
          <w:p>
            <w:r>
              <w:rPr>
                <w:rFonts w:ascii="Calibri" w:hAnsi="Calibri"/>
                <w:sz w:val="22"/>
              </w:rPr>
              <w:t>May 6–7, Jun 1, Jul 10, 2026</w:t>
            </w:r>
          </w:p>
        </w:tc>
        <w:tc>
          <w:tcPr>
            <w:tcW w:type="dxa" w:w="1440"/>
          </w:tcPr>
          <w:p>
            <w:r>
              <w:rPr>
                <w:rFonts w:ascii="Calibri" w:hAnsi="Calibri"/>
                <w:sz w:val="22"/>
              </w:rPr>
              <w:t>Routine director compensation grants; no cash outlay; no directional signal</w:t>
            </w:r>
          </w:p>
        </w:tc>
      </w:tr>
      <w:tr>
        <w:tc>
          <w:tcPr>
            <w:tcW w:type="dxa" w:w="1440"/>
          </w:tcPr>
          <w:p>
            <w:r>
              <w:rPr>
                <w:rFonts w:ascii="Calibri" w:hAnsi="Calibri"/>
                <w:sz w:val="22"/>
              </w:rPr>
              <w:t>Chad Bickford</w:t>
            </w:r>
          </w:p>
        </w:tc>
        <w:tc>
          <w:tcPr>
            <w:tcW w:type="dxa" w:w="1440"/>
          </w:tcPr>
          <w:p>
            <w:r>
              <w:rPr>
                <w:rFonts w:ascii="Calibri" w:hAnsi="Calibri"/>
                <w:sz w:val="22"/>
              </w:rPr>
              <w:t>Vice President</w:t>
            </w:r>
          </w:p>
        </w:tc>
        <w:tc>
          <w:tcPr>
            <w:tcW w:type="dxa" w:w="1440"/>
          </w:tcPr>
          <w:p>
            <w:r>
              <w:rPr>
                <w:rFonts w:ascii="Calibri" w:hAnsi="Calibri"/>
                <w:sz w:val="22"/>
              </w:rPr>
              <w:t>Tax Withholding Disposition (F)</w:t>
            </w:r>
          </w:p>
        </w:tc>
        <w:tc>
          <w:tcPr>
            <w:tcW w:type="dxa" w:w="1440"/>
          </w:tcPr>
          <w:p>
            <w:r>
              <w:rPr>
                <w:rFonts w:ascii="Calibri" w:hAnsi="Calibri"/>
                <w:sz w:val="22"/>
              </w:rPr>
              <w:t>166 shares</w:t>
            </w:r>
          </w:p>
        </w:tc>
        <w:tc>
          <w:tcPr>
            <w:tcW w:type="dxa" w:w="1440"/>
          </w:tcPr>
          <w:p>
            <w:r>
              <w:rPr>
                <w:rFonts w:ascii="Calibri" w:hAnsi="Calibri"/>
                <w:sz w:val="22"/>
              </w:rPr>
              <w:t>May 1, 2026</w:t>
            </w:r>
          </w:p>
        </w:tc>
        <w:tc>
          <w:tcPr>
            <w:tcW w:type="dxa" w:w="1440"/>
          </w:tcPr>
          <w:p>
            <w:r>
              <w:rPr>
                <w:rFonts w:ascii="Calibri" w:hAnsi="Calibri"/>
                <w:sz w:val="22"/>
              </w:rPr>
              <w:t>Routine tax withholding on vesting; not a discretionary sale; no signal</w:t>
            </w:r>
          </w:p>
        </w:tc>
      </w:tr>
    </w:tbl>
    <w:p>
      <w:r>
        <w:rPr>
          <w:rFonts w:ascii="Calibri" w:hAnsi="Calibri"/>
          <w:b/>
          <w:color w:val="525866"/>
          <w:sz w:val="22"/>
        </w:rPr>
        <w:t xml:space="preserve">Overall Assessment: </w:t>
      </w:r>
      <w:r>
        <w:rPr>
          <w:rFonts w:ascii="Calibri" w:hAnsi="Calibri"/>
          <w:color w:val="525866"/>
          <w:sz w:val="22"/>
        </w:rPr>
        <w:t>Insider activity since the Q1 print is entirely routine — director stock grants and one small tax-withholding disposition. The two open-market sales (Alvarez and Cornew, both April 23) occurred around the Q1 earnings event and are small relative to their total holdings. There is no insider buying or selling pattern that provides a directional signal into the Q2 print. The absence of any insider selling during the stock's +35% rally into early June (when the stock peaked near $283) is arguably a mild positive signal.</w:t>
      </w:r>
    </w:p>
    <w:p>
      <w:r>
        <w:rPr>
          <w:rFonts w:ascii="Calibri" w:hAnsi="Calibri"/>
          <w:i/>
          <w:color w:val="525866"/>
          <w:sz w:val="22"/>
        </w:rPr>
        <w:t>Source: Insider Transaction Data (SEC Form 4 filings, April 20 – July 19,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