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Steel Dynamics, Inc. (STLD) — Q2 2026 Earnings Preview</w:t>
      </w:r>
    </w:p>
    <w:tbl>
      <w:tblPr>
        <w:tblStyle w:val="TableGrid"/>
        <w:tblW w:type="auto" w:w="0"/>
        <w:tblLook w:firstColumn="1" w:firstRow="1" w:lastColumn="0" w:lastRow="0" w:noHBand="0" w:noVBand="1" w:val="04A0"/>
      </w:tblPr>
      <w:tblGrid>
        <w:gridCol w:w="4320"/>
        <w:gridCol w:w="4320"/>
      </w:tblGrid>
      <w:tr>
        <w:tc>
          <w:tcPr>
            <w:tcW w:type="dxa" w:w="4320"/>
          </w:tcPr>
          <w:p>
            <w:r>
              <w:rPr>
                <w:rFonts w:ascii="Calibri" w:hAnsi="Calibri"/>
                <w:b/>
                <w:sz w:val="22"/>
              </w:rPr>
              <w:t>Company</w:t>
            </w:r>
          </w:p>
        </w:tc>
        <w:tc>
          <w:tcPr>
            <w:tcW w:type="dxa" w:w="4320"/>
          </w:tcPr>
          <w:p>
            <w:r>
              <w:rPr>
                <w:rFonts w:ascii="Calibri" w:hAnsi="Calibri"/>
                <w:sz w:val="22"/>
              </w:rPr>
              <w:t>Steel Dynamics, Inc.</w:t>
            </w:r>
          </w:p>
        </w:tc>
      </w:tr>
      <w:tr>
        <w:tc>
          <w:tcPr>
            <w:tcW w:type="dxa" w:w="4320"/>
          </w:tcPr>
          <w:p>
            <w:r>
              <w:rPr>
                <w:rFonts w:ascii="Calibri" w:hAnsi="Calibri"/>
                <w:b/>
                <w:sz w:val="22"/>
              </w:rPr>
              <w:t>Ticker</w:t>
            </w:r>
          </w:p>
        </w:tc>
        <w:tc>
          <w:tcPr>
            <w:tcW w:type="dxa" w:w="4320"/>
          </w:tcPr>
          <w:p>
            <w:r>
              <w:rPr>
                <w:rFonts w:ascii="Calibri" w:hAnsi="Calibri"/>
                <w:sz w:val="22"/>
              </w:rPr>
              <w:t>STLD (NASDAQ)</w:t>
            </w:r>
          </w:p>
        </w:tc>
      </w:tr>
      <w:tr>
        <w:tc>
          <w:tcPr>
            <w:tcW w:type="dxa" w:w="4320"/>
          </w:tcPr>
          <w:p>
            <w:r>
              <w:rPr>
                <w:rFonts w:ascii="Calibri" w:hAnsi="Calibri"/>
                <w:b/>
                <w:sz w:val="22"/>
              </w:rPr>
              <w:t>Reporting Period</w:t>
            </w:r>
          </w:p>
        </w:tc>
        <w:tc>
          <w:tcPr>
            <w:tcW w:type="dxa" w:w="4320"/>
          </w:tcPr>
          <w:p>
            <w:r>
              <w:rPr>
                <w:rFonts w:ascii="Calibri" w:hAnsi="Calibri"/>
                <w:sz w:val="22"/>
              </w:rPr>
              <w:t>Q2 2026 (quarter ended June 30, 2026)</w:t>
            </w:r>
          </w:p>
        </w:tc>
      </w:tr>
      <w:tr>
        <w:tc>
          <w:tcPr>
            <w:tcW w:type="dxa" w:w="4320"/>
          </w:tcPr>
          <w:p>
            <w:r>
              <w:rPr>
                <w:rFonts w:ascii="Calibri" w:hAnsi="Calibri"/>
                <w:b/>
                <w:sz w:val="22"/>
              </w:rPr>
              <w:t>Earnings Release Date</w:t>
            </w:r>
          </w:p>
        </w:tc>
        <w:tc>
          <w:tcPr>
            <w:tcW w:type="dxa" w:w="4320"/>
          </w:tcPr>
          <w:p>
            <w:r>
              <w:rPr>
                <w:rFonts w:ascii="Calibri" w:hAnsi="Calibri"/>
                <w:sz w:val="22"/>
              </w:rPr>
              <w:t>July 20, 2026 (after market close)</w:t>
            </w:r>
          </w:p>
        </w:tc>
      </w:tr>
      <w:tr>
        <w:tc>
          <w:tcPr>
            <w:tcW w:type="dxa" w:w="4320"/>
          </w:tcPr>
          <w:p>
            <w:r>
              <w:rPr>
                <w:rFonts w:ascii="Calibri" w:hAnsi="Calibri"/>
                <w:b/>
                <w:sz w:val="22"/>
              </w:rPr>
              <w:t>Conference Call</w:t>
            </w:r>
          </w:p>
        </w:tc>
        <w:tc>
          <w:tcPr>
            <w:tcW w:type="dxa" w:w="4320"/>
          </w:tcPr>
          <w:p>
            <w:r>
              <w:rPr>
                <w:rFonts w:ascii="Calibri" w:hAnsi="Calibri"/>
                <w:sz w:val="22"/>
              </w:rPr>
              <w:t>July 21, 2026 at 11:00 AM ET</w:t>
            </w:r>
          </w:p>
        </w:tc>
      </w:tr>
      <w:tr>
        <w:tc>
          <w:tcPr>
            <w:tcW w:type="dxa" w:w="4320"/>
          </w:tcPr>
          <w:p>
            <w:r>
              <w:rPr>
                <w:rFonts w:ascii="Calibri" w:hAnsi="Calibri"/>
                <w:b/>
                <w:sz w:val="22"/>
              </w:rPr>
              <w:t>Prepared Date</w:t>
            </w:r>
          </w:p>
        </w:tc>
        <w:tc>
          <w:tcPr>
            <w:tcW w:type="dxa" w:w="4320"/>
          </w:tcPr>
          <w:p>
            <w:r>
              <w:rPr>
                <w:rFonts w:ascii="Calibri" w:hAnsi="Calibri"/>
                <w:sz w:val="22"/>
              </w:rPr>
              <w:t>July 19, 2026</w:t>
            </w:r>
          </w:p>
        </w:tc>
      </w:tr>
      <w:tr>
        <w:tc>
          <w:tcPr>
            <w:tcW w:type="dxa" w:w="4320"/>
          </w:tcPr>
          <w:p>
            <w:r>
              <w:rPr>
                <w:rFonts w:ascii="Calibri" w:hAnsi="Calibri"/>
                <w:b/>
                <w:sz w:val="22"/>
              </w:rPr>
              <w:t>Last Earnings Date</w:t>
            </w:r>
          </w:p>
        </w:tc>
        <w:tc>
          <w:tcPr>
            <w:tcW w:type="dxa" w:w="4320"/>
          </w:tcPr>
          <w:p>
            <w:r>
              <w:rPr>
                <w:rFonts w:ascii="Calibri" w:hAnsi="Calibri"/>
                <w:sz w:val="22"/>
              </w:rPr>
              <w:t>April 21, 2026 (Q1 2026)</w:t>
            </w:r>
          </w:p>
        </w:tc>
      </w:tr>
    </w:tbl>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color w:val="525866"/>
          <w:sz w:val="22"/>
        </w:rPr>
        <w:t>Setup is constructive — consensus is a manageable bar after the June 17 pre-announcement, and the real swing factor is how fast aluminum EBITDA is inflecting, not whether steel beats.</w:t>
      </w:r>
    </w:p>
    <w:p>
      <w:r>
        <w:rPr>
          <w:rFonts w:ascii="Calibri" w:hAnsi="Calibri"/>
          <w:color w:val="525866"/>
          <w:sz w:val="22"/>
        </w:rPr>
        <w:t xml:space="preserve">Heading into Q2 2026, the bar is well-defined: management pre-announced EPS guidance of </w:t>
      </w:r>
      <w:r>
        <w:rPr>
          <w:rFonts w:ascii="Calibri" w:hAnsi="Calibri"/>
          <w:b/>
          <w:color w:val="525866"/>
          <w:sz w:val="22"/>
        </w:rPr>
        <w:t>$3.51–$3.55</w:t>
      </w:r>
      <w:r>
        <w:rPr>
          <w:rFonts w:ascii="Calibri" w:hAnsi="Calibri"/>
          <w:color w:val="525866"/>
          <w:sz w:val="22"/>
        </w:rPr>
        <w:t xml:space="preserve"> on June 17, and consensus has largely converged around that range ($3.63 current vs. $4.06 immediately post-Q1 print), reflecting a meaningful downward revision driven by a $16M asset write-down tied to the relocation of the planned second satellite aluminum slab center from Arizona to Columbus, Mississippi. The steel operations setup is unambiguously positive — management guided for </w:t>
      </w:r>
      <w:r>
        <w:rPr>
          <w:rFonts w:ascii="Calibri" w:hAnsi="Calibri"/>
          <w:b/>
          <w:color w:val="525866"/>
          <w:sz w:val="22"/>
        </w:rPr>
        <w:t>meaningfully higher profitability</w:t>
      </w:r>
      <w:r>
        <w:rPr>
          <w:rFonts w:ascii="Calibri" w:hAnsi="Calibri"/>
          <w:color w:val="525866"/>
          <w:sz w:val="22"/>
        </w:rPr>
        <w:t xml:space="preserve"> sequentially, citing metal margin expansion (average realized price guided to ~$1,266/ton vs. $1,193 in Q1) and robust demand across non-residential construction, energy, and industrial end markets, with the fabrication backlog now ~40% above year-ago levels. Aluminum is the key wildcard: Q2 shipments are guided to jump sharply to ~60,000–70,000 tons (vs. 22,500 in Q1), and management signaled the business should be </w:t>
      </w:r>
      <w:r>
        <w:rPr>
          <w:rFonts w:ascii="Calibri" w:hAnsi="Calibri"/>
          <w:b/>
          <w:color w:val="525866"/>
          <w:sz w:val="22"/>
        </w:rPr>
        <w:t>EBITDA positive</w:t>
      </w:r>
      <w:r>
        <w:rPr>
          <w:rFonts w:ascii="Calibri" w:hAnsi="Calibri"/>
          <w:color w:val="525866"/>
          <w:sz w:val="22"/>
        </w:rPr>
        <w:t xml:space="preserve"> for the quarter — consensus sits at only ~$7M aluminum EBITDA, leaving meaningful upside if the ramp executes. The stock has rallied ~12.5% since the Q1 print (indexed basis), outperforming SLX and the S&amp;P 500, suggesting the market has partially priced in the recovery, but the multiple (9.1x NTM EV/EBITDA) remains below the 1-year average, implying the aluminum story is not yet fully credited. The single biggest wildcard is the pace of aluminum customer qualifications — particularly automotive CASH line certifications — which could drive a meaningful upward revision to the through-cycle EBITDA target management has hinted at.</w:t>
      </w:r>
    </w:p>
    <w:p>
      <w:r>
        <w:br w:type="page"/>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Consensus is a manageable bar on EPS given the pre-announcement, but aluminum EBITDA ($7M consensus) is the bigger swing factor — any upside there could drive a meaningful positive reaction. Steel operations EBITDA ($817M consensus) is the anchor metric and appears achievable given peer commentary on pricing and demand.</w:t>
      </w:r>
    </w:p>
    <w:p>
      <w:pPr>
        <w:pStyle w:val="Heading3"/>
      </w:pPr>
      <w:r>
        <w:rPr>
          <w:rFonts w:ascii="Calibri" w:hAnsi="Calibri"/>
          <w:b/>
          <w:color w:val="3B4259"/>
          <w:sz w:val="24"/>
        </w:rPr>
        <w:t>Table 1 — Current Quarter Snapshot (Q2 2026 Key KPIs)</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w:t>
            </w:r>
          </w:p>
        </w:tc>
        <w:tc>
          <w:tcPr>
            <w:tcW w:type="dxa" w:w="1234"/>
            <w:shd w:val="clear" w:color="auto" w:fill="3B4259"/>
          </w:tcPr>
          <w:p>
            <w:r>
              <w:rPr>
                <w:rFonts w:ascii="Calibri" w:hAnsi="Calibri"/>
                <w:b/>
                <w:color w:val="FFFFFF"/>
                <w:sz w:val="22"/>
              </w:rPr>
              <w:t>Q2 2025 Actual (Prior Year)</w:t>
            </w:r>
          </w:p>
        </w:tc>
        <w:tc>
          <w:tcPr>
            <w:tcW w:type="dxa" w:w="1234"/>
            <w:shd w:val="clear" w:color="auto" w:fill="3B4259"/>
          </w:tcPr>
          <w:p>
            <w:r>
              <w:rPr>
                <w:rFonts w:ascii="Calibri" w:hAnsi="Calibri"/>
                <w:b/>
                <w:color w:val="FFFFFF"/>
                <w:sz w:val="22"/>
              </w:rPr>
              <w:t>Q2 2026 Consensus Estimate</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Guidance (June 17 Pre-Ann.)</w:t>
            </w:r>
          </w:p>
        </w:tc>
        <w:tc>
          <w:tcPr>
            <w:tcW w:type="dxa" w:w="1234"/>
            <w:shd w:val="clear" w:color="auto" w:fill="3B4259"/>
          </w:tcPr>
          <w:p>
            <w:r>
              <w:rPr>
                <w:rFonts w:ascii="Calibri" w:hAnsi="Calibri"/>
                <w:b/>
                <w:color w:val="FFFFFF"/>
                <w:sz w:val="22"/>
              </w:rPr>
              <w:t>Consensus vs. Guidance</w:t>
            </w:r>
          </w:p>
        </w:tc>
      </w:tr>
      <w:tr>
        <w:tc>
          <w:tcPr>
            <w:tcW w:type="dxa" w:w="1234"/>
          </w:tcPr>
          <w:p>
            <w:r>
              <w:rPr>
                <w:rFonts w:ascii="Calibri" w:hAnsi="Calibri"/>
                <w:sz w:val="22"/>
              </w:rPr>
              <w:t>EPS — Diluted Operating ($)</w:t>
            </w:r>
          </w:p>
        </w:tc>
        <w:tc>
          <w:tcPr>
            <w:tcW w:type="dxa" w:w="1234"/>
          </w:tcPr>
          <w:p>
            <w:r>
              <w:rPr>
                <w:rFonts w:ascii="Calibri" w:hAnsi="Calibri"/>
                <w:sz w:val="22"/>
              </w:rPr>
              <w:t>$2.78</w:t>
            </w:r>
          </w:p>
        </w:tc>
        <w:tc>
          <w:tcPr>
            <w:tcW w:type="dxa" w:w="1234"/>
          </w:tcPr>
          <w:p>
            <w:r>
              <w:rPr>
                <w:rFonts w:ascii="Calibri" w:hAnsi="Calibri"/>
                <w:sz w:val="22"/>
              </w:rPr>
              <w:t>$2.01</w:t>
            </w:r>
          </w:p>
        </w:tc>
        <w:tc>
          <w:tcPr>
            <w:tcW w:type="dxa" w:w="1234"/>
          </w:tcPr>
          <w:p>
            <w:r>
              <w:rPr>
                <w:rFonts w:ascii="Calibri" w:hAnsi="Calibri"/>
                <w:sz w:val="22"/>
              </w:rPr>
              <w:t>$3.64</w:t>
            </w:r>
          </w:p>
        </w:tc>
        <w:tc>
          <w:tcPr>
            <w:tcW w:type="dxa" w:w="1234"/>
          </w:tcPr>
          <w:p>
            <w:r>
              <w:rPr>
                <w:rFonts w:ascii="Calibri" w:hAnsi="Calibri"/>
                <w:sz w:val="22"/>
              </w:rPr>
              <w:t>+81% YoY</w:t>
            </w:r>
          </w:p>
        </w:tc>
        <w:tc>
          <w:tcPr>
            <w:tcW w:type="dxa" w:w="1234"/>
          </w:tcPr>
          <w:p>
            <w:r>
              <w:rPr>
                <w:rFonts w:ascii="Calibri" w:hAnsi="Calibri"/>
                <w:sz w:val="22"/>
              </w:rPr>
              <w:t>$3.51–$3.55</w:t>
            </w:r>
          </w:p>
        </w:tc>
        <w:tc>
          <w:tcPr>
            <w:tcW w:type="dxa" w:w="1234"/>
          </w:tcPr>
          <w:p>
            <w:r>
              <w:rPr>
                <w:rFonts w:ascii="Calibri" w:hAnsi="Calibri"/>
                <w:sz w:val="22"/>
              </w:rPr>
              <w:t>+2.5% above midpoint</w:t>
            </w:r>
          </w:p>
        </w:tc>
      </w:tr>
      <w:tr>
        <w:tc>
          <w:tcPr>
            <w:tcW w:type="dxa" w:w="1234"/>
          </w:tcPr>
          <w:p>
            <w:r>
              <w:rPr>
                <w:rFonts w:ascii="Calibri" w:hAnsi="Calibri"/>
                <w:sz w:val="22"/>
              </w:rPr>
              <w:t>Net Sales ($B)</w:t>
            </w:r>
          </w:p>
        </w:tc>
        <w:tc>
          <w:tcPr>
            <w:tcW w:type="dxa" w:w="1234"/>
          </w:tcPr>
          <w:p>
            <w:r>
              <w:rPr>
                <w:rFonts w:ascii="Calibri" w:hAnsi="Calibri"/>
                <w:sz w:val="22"/>
              </w:rPr>
              <w:t>$5.20B</w:t>
            </w:r>
          </w:p>
        </w:tc>
        <w:tc>
          <w:tcPr>
            <w:tcW w:type="dxa" w:w="1234"/>
          </w:tcPr>
          <w:p>
            <w:r>
              <w:rPr>
                <w:rFonts w:ascii="Calibri" w:hAnsi="Calibri"/>
                <w:sz w:val="22"/>
              </w:rPr>
              <w:t>$4.57B</w:t>
            </w:r>
          </w:p>
        </w:tc>
        <w:tc>
          <w:tcPr>
            <w:tcW w:type="dxa" w:w="1234"/>
          </w:tcPr>
          <w:p>
            <w:r>
              <w:rPr>
                <w:rFonts w:ascii="Calibri" w:hAnsi="Calibri"/>
                <w:sz w:val="22"/>
              </w:rPr>
              <w:t>$5.65B</w:t>
            </w:r>
          </w:p>
        </w:tc>
        <w:tc>
          <w:tcPr>
            <w:tcW w:type="dxa" w:w="1234"/>
          </w:tcPr>
          <w:p>
            <w:r>
              <w:rPr>
                <w:rFonts w:ascii="Calibri" w:hAnsi="Calibri"/>
                <w:sz w:val="22"/>
              </w:rPr>
              <w:t>+23.7% YoY</w:t>
            </w:r>
          </w:p>
        </w:tc>
        <w:tc>
          <w:tcPr>
            <w:tcW w:type="dxa" w:w="1234"/>
          </w:tcPr>
          <w:p>
            <w:r>
              <w:rPr>
                <w:rFonts w:ascii="Calibri" w:hAnsi="Calibri"/>
                <w:sz w:val="22"/>
              </w:rPr>
              <w:t>Not provided</w:t>
            </w:r>
          </w:p>
        </w:tc>
        <w:tc>
          <w:tcPr>
            <w:tcW w:type="dxa" w:w="1234"/>
          </w:tcPr>
          <w:p>
            <w:r>
              <w:rPr>
                <w:rFonts w:ascii="Calibri" w:hAnsi="Calibri"/>
                <w:sz w:val="22"/>
              </w:rPr>
              <w:t>N/A</w:t>
            </w:r>
          </w:p>
        </w:tc>
      </w:tr>
      <w:tr>
        <w:tc>
          <w:tcPr>
            <w:tcW w:type="dxa" w:w="1234"/>
          </w:tcPr>
          <w:p>
            <w:r>
              <w:rPr>
                <w:rFonts w:ascii="Calibri" w:hAnsi="Calibri"/>
                <w:sz w:val="22"/>
              </w:rPr>
              <w:t>EBITDA ($M)</w:t>
            </w:r>
          </w:p>
        </w:tc>
        <w:tc>
          <w:tcPr>
            <w:tcW w:type="dxa" w:w="1234"/>
          </w:tcPr>
          <w:p>
            <w:r>
              <w:rPr>
                <w:rFonts w:ascii="Calibri" w:hAnsi="Calibri"/>
                <w:sz w:val="22"/>
              </w:rPr>
              <w:t>$697M</w:t>
            </w:r>
          </w:p>
        </w:tc>
        <w:tc>
          <w:tcPr>
            <w:tcW w:type="dxa" w:w="1234"/>
          </w:tcPr>
          <w:p>
            <w:r>
              <w:rPr>
                <w:rFonts w:ascii="Calibri" w:hAnsi="Calibri"/>
                <w:sz w:val="22"/>
              </w:rPr>
              <w:t>$516M</w:t>
            </w:r>
          </w:p>
        </w:tc>
        <w:tc>
          <w:tcPr>
            <w:tcW w:type="dxa" w:w="1234"/>
          </w:tcPr>
          <w:p>
            <w:r>
              <w:rPr>
                <w:rFonts w:ascii="Calibri" w:hAnsi="Calibri"/>
                <w:sz w:val="22"/>
              </w:rPr>
              <w:t>$875M</w:t>
            </w:r>
          </w:p>
        </w:tc>
        <w:tc>
          <w:tcPr>
            <w:tcW w:type="dxa" w:w="1234"/>
          </w:tcPr>
          <w:p>
            <w:r>
              <w:rPr>
                <w:rFonts w:ascii="Calibri" w:hAnsi="Calibri"/>
                <w:sz w:val="22"/>
              </w:rPr>
              <w:t>+69.6% YoY</w:t>
            </w:r>
          </w:p>
        </w:tc>
        <w:tc>
          <w:tcPr>
            <w:tcW w:type="dxa" w:w="1234"/>
          </w:tcPr>
          <w:p>
            <w:r>
              <w:rPr>
                <w:rFonts w:ascii="Calibri" w:hAnsi="Calibri"/>
                <w:sz w:val="22"/>
              </w:rPr>
              <w:t>Not provided</w:t>
            </w:r>
          </w:p>
        </w:tc>
        <w:tc>
          <w:tcPr>
            <w:tcW w:type="dxa" w:w="1234"/>
          </w:tcPr>
          <w:p>
            <w:r>
              <w:rPr>
                <w:rFonts w:ascii="Calibri" w:hAnsi="Calibri"/>
                <w:sz w:val="22"/>
              </w:rPr>
              <w:t>N/A</w:t>
            </w:r>
          </w:p>
        </w:tc>
      </w:tr>
      <w:tr>
        <w:tc>
          <w:tcPr>
            <w:tcW w:type="dxa" w:w="1234"/>
          </w:tcPr>
          <w:p>
            <w:r>
              <w:rPr>
                <w:rFonts w:ascii="Calibri" w:hAnsi="Calibri"/>
                <w:sz w:val="22"/>
              </w:rPr>
              <w:t>EBITDA — Steel Operations ($M)</w:t>
            </w:r>
          </w:p>
        </w:tc>
        <w:tc>
          <w:tcPr>
            <w:tcW w:type="dxa" w:w="1234"/>
          </w:tcPr>
          <w:p>
            <w:r>
              <w:rPr>
                <w:rFonts w:ascii="Calibri" w:hAnsi="Calibri"/>
                <w:sz w:val="22"/>
              </w:rPr>
              <w:t>$663M</w:t>
            </w:r>
          </w:p>
        </w:tc>
        <w:tc>
          <w:tcPr>
            <w:tcW w:type="dxa" w:w="1234"/>
          </w:tcPr>
          <w:p>
            <w:r>
              <w:rPr>
                <w:rFonts w:ascii="Calibri" w:hAnsi="Calibri"/>
                <w:sz w:val="22"/>
              </w:rPr>
              <w:t>$480M</w:t>
            </w:r>
          </w:p>
        </w:tc>
        <w:tc>
          <w:tcPr>
            <w:tcW w:type="dxa" w:w="1234"/>
          </w:tcPr>
          <w:p>
            <w:r>
              <w:rPr>
                <w:rFonts w:ascii="Calibri" w:hAnsi="Calibri"/>
                <w:sz w:val="22"/>
              </w:rPr>
              <w:t>$817M</w:t>
            </w:r>
          </w:p>
        </w:tc>
        <w:tc>
          <w:tcPr>
            <w:tcW w:type="dxa" w:w="1234"/>
          </w:tcPr>
          <w:p>
            <w:r>
              <w:rPr>
                <w:rFonts w:ascii="Calibri" w:hAnsi="Calibri"/>
                <w:sz w:val="22"/>
              </w:rPr>
              <w:t>+70.2% YoY</w:t>
            </w:r>
          </w:p>
        </w:tc>
        <w:tc>
          <w:tcPr>
            <w:tcW w:type="dxa" w:w="1234"/>
          </w:tcPr>
          <w:p>
            <w:r>
              <w:rPr>
                <w:rFonts w:ascii="Calibri" w:hAnsi="Calibri"/>
                <w:sz w:val="22"/>
              </w:rPr>
              <w:t>Meaningfully higher seq.</w:t>
            </w:r>
          </w:p>
        </w:tc>
        <w:tc>
          <w:tcPr>
            <w:tcW w:type="dxa" w:w="1234"/>
          </w:tcPr>
          <w:p>
            <w:r>
              <w:rPr>
                <w:rFonts w:ascii="Calibri" w:hAnsi="Calibri"/>
                <w:sz w:val="22"/>
              </w:rPr>
              <w:t>N/A (directional only)</w:t>
            </w:r>
          </w:p>
        </w:tc>
      </w:tr>
      <w:tr>
        <w:tc>
          <w:tcPr>
            <w:tcW w:type="dxa" w:w="1234"/>
          </w:tcPr>
          <w:p>
            <w:r>
              <w:rPr>
                <w:rFonts w:ascii="Calibri" w:hAnsi="Calibri"/>
                <w:sz w:val="22"/>
              </w:rPr>
              <w:t>EBITDA — Aluminum ($M)</w:t>
            </w:r>
          </w:p>
        </w:tc>
        <w:tc>
          <w:tcPr>
            <w:tcW w:type="dxa" w:w="1234"/>
          </w:tcPr>
          <w:p>
            <w:r>
              <w:rPr>
                <w:rFonts w:ascii="Calibri" w:hAnsi="Calibri"/>
                <w:sz w:val="22"/>
              </w:rPr>
              <w:t>-$45M</w:t>
            </w:r>
          </w:p>
        </w:tc>
        <w:tc>
          <w:tcPr>
            <w:tcW w:type="dxa" w:w="1234"/>
          </w:tcPr>
          <w:p>
            <w:r>
              <w:rPr>
                <w:rFonts w:ascii="Calibri" w:hAnsi="Calibri"/>
                <w:sz w:val="22"/>
              </w:rPr>
              <w:t>-$38M</w:t>
            </w:r>
          </w:p>
        </w:tc>
        <w:tc>
          <w:tcPr>
            <w:tcW w:type="dxa" w:w="1234"/>
          </w:tcPr>
          <w:p>
            <w:r>
              <w:rPr>
                <w:rFonts w:ascii="Calibri" w:hAnsi="Calibri"/>
                <w:sz w:val="22"/>
              </w:rPr>
              <w:t>$7M</w:t>
            </w:r>
          </w:p>
        </w:tc>
        <w:tc>
          <w:tcPr>
            <w:tcW w:type="dxa" w:w="1234"/>
          </w:tcPr>
          <w:p>
            <w:r>
              <w:rPr>
                <w:rFonts w:ascii="Calibri" w:hAnsi="Calibri"/>
                <w:sz w:val="22"/>
              </w:rPr>
              <w:t>N/M (loss to profit)</w:t>
            </w:r>
          </w:p>
        </w:tc>
        <w:tc>
          <w:tcPr>
            <w:tcW w:type="dxa" w:w="1234"/>
          </w:tcPr>
          <w:p>
            <w:r>
              <w:rPr>
                <w:rFonts w:ascii="Calibri" w:hAnsi="Calibri"/>
                <w:sz w:val="22"/>
              </w:rPr>
              <w:t>Significantly improved seq.</w:t>
            </w:r>
          </w:p>
        </w:tc>
        <w:tc>
          <w:tcPr>
            <w:tcW w:type="dxa" w:w="1234"/>
          </w:tcPr>
          <w:p>
            <w:r>
              <w:rPr>
                <w:rFonts w:ascii="Calibri" w:hAnsi="Calibri"/>
                <w:sz w:val="22"/>
              </w:rPr>
              <w:t>N/A (directional only)</w:t>
            </w:r>
          </w:p>
        </w:tc>
      </w:tr>
      <w:tr>
        <w:tc>
          <w:tcPr>
            <w:tcW w:type="dxa" w:w="1234"/>
          </w:tcPr>
          <w:p>
            <w:r>
              <w:rPr>
                <w:rFonts w:ascii="Calibri" w:hAnsi="Calibri"/>
                <w:sz w:val="22"/>
              </w:rPr>
              <w:t>Steel Shipments (KTons)</w:t>
            </w:r>
          </w:p>
        </w:tc>
        <w:tc>
          <w:tcPr>
            <w:tcW w:type="dxa" w:w="1234"/>
          </w:tcPr>
          <w:p>
            <w:r>
              <w:rPr>
                <w:rFonts w:ascii="Calibri" w:hAnsi="Calibri"/>
                <w:sz w:val="22"/>
              </w:rPr>
              <w:t>3,639 KT</w:t>
            </w:r>
          </w:p>
        </w:tc>
        <w:tc>
          <w:tcPr>
            <w:tcW w:type="dxa" w:w="1234"/>
          </w:tcPr>
          <w:p>
            <w:r>
              <w:rPr>
                <w:rFonts w:ascii="Calibri" w:hAnsi="Calibri"/>
                <w:sz w:val="22"/>
              </w:rPr>
              <w:t>3,350 KT</w:t>
            </w:r>
          </w:p>
        </w:tc>
        <w:tc>
          <w:tcPr>
            <w:tcW w:type="dxa" w:w="1234"/>
          </w:tcPr>
          <w:p>
            <w:r>
              <w:rPr>
                <w:rFonts w:ascii="Calibri" w:hAnsi="Calibri"/>
                <w:sz w:val="22"/>
              </w:rPr>
              <w:t>3,661 KT</w:t>
            </w:r>
          </w:p>
        </w:tc>
        <w:tc>
          <w:tcPr>
            <w:tcW w:type="dxa" w:w="1234"/>
          </w:tcPr>
          <w:p>
            <w:r>
              <w:rPr>
                <w:rFonts w:ascii="Calibri" w:hAnsi="Calibri"/>
                <w:sz w:val="22"/>
              </w:rPr>
              <w:t>+9.3% YoY</w:t>
            </w:r>
          </w:p>
        </w:tc>
        <w:tc>
          <w:tcPr>
            <w:tcW w:type="dxa" w:w="1234"/>
          </w:tcPr>
          <w:p>
            <w:r>
              <w:rPr>
                <w:rFonts w:ascii="Calibri" w:hAnsi="Calibri"/>
                <w:sz w:val="22"/>
              </w:rPr>
              <w:t>Strong demand</w:t>
            </w:r>
          </w:p>
        </w:tc>
        <w:tc>
          <w:tcPr>
            <w:tcW w:type="dxa" w:w="1234"/>
          </w:tcPr>
          <w:p>
            <w:r>
              <w:rPr>
                <w:rFonts w:ascii="Calibri" w:hAnsi="Calibri"/>
                <w:sz w:val="22"/>
              </w:rPr>
              <w:t>N/A (directional only)</w:t>
            </w:r>
          </w:p>
        </w:tc>
      </w:tr>
      <w:tr>
        <w:tc>
          <w:tcPr>
            <w:tcW w:type="dxa" w:w="1234"/>
          </w:tcPr>
          <w:p>
            <w:r>
              <w:rPr>
                <w:rFonts w:ascii="Calibri" w:hAnsi="Calibri"/>
                <w:sz w:val="22"/>
              </w:rPr>
              <w:t>Aluminum Shipments (KTons)</w:t>
            </w:r>
          </w:p>
        </w:tc>
        <w:tc>
          <w:tcPr>
            <w:tcW w:type="dxa" w:w="1234"/>
          </w:tcPr>
          <w:p>
            <w:r>
              <w:rPr>
                <w:rFonts w:ascii="Calibri" w:hAnsi="Calibri"/>
                <w:sz w:val="22"/>
              </w:rPr>
              <w:t>22.5 KT</w:t>
            </w:r>
          </w:p>
        </w:tc>
        <w:tc>
          <w:tcPr>
            <w:tcW w:type="dxa" w:w="1234"/>
          </w:tcPr>
          <w:p>
            <w:r>
              <w:rPr>
                <w:rFonts w:ascii="Calibri" w:hAnsi="Calibri"/>
                <w:sz w:val="22"/>
              </w:rPr>
              <w:t>10.9 KT</w:t>
            </w:r>
          </w:p>
        </w:tc>
        <w:tc>
          <w:tcPr>
            <w:tcW w:type="dxa" w:w="1234"/>
          </w:tcPr>
          <w:p>
            <w:r>
              <w:rPr>
                <w:rFonts w:ascii="Calibri" w:hAnsi="Calibri"/>
                <w:sz w:val="22"/>
              </w:rPr>
              <w:t>67.1 KT</w:t>
            </w:r>
          </w:p>
        </w:tc>
        <w:tc>
          <w:tcPr>
            <w:tcW w:type="dxa" w:w="1234"/>
          </w:tcPr>
          <w:p>
            <w:r>
              <w:rPr>
                <w:rFonts w:ascii="Calibri" w:hAnsi="Calibri"/>
                <w:sz w:val="22"/>
              </w:rPr>
              <w:t>+515% YoY</w:t>
            </w:r>
          </w:p>
        </w:tc>
        <w:tc>
          <w:tcPr>
            <w:tcW w:type="dxa" w:w="1234"/>
          </w:tcPr>
          <w:p>
            <w:r>
              <w:rPr>
                <w:rFonts w:ascii="Calibri" w:hAnsi="Calibri"/>
                <w:sz w:val="22"/>
              </w:rPr>
              <w:t>60,000–70,000 KT</w:t>
            </w:r>
          </w:p>
        </w:tc>
        <w:tc>
          <w:tcPr>
            <w:tcW w:type="dxa" w:w="1234"/>
          </w:tcPr>
          <w:p>
            <w:r>
              <w:rPr>
                <w:rFonts w:ascii="Calibri" w:hAnsi="Calibri"/>
                <w:sz w:val="22"/>
              </w:rPr>
              <w:t>+3.3% above midpoint</w:t>
            </w:r>
          </w:p>
        </w:tc>
      </w:tr>
      <w:tr>
        <w:tc>
          <w:tcPr>
            <w:tcW w:type="dxa" w:w="1234"/>
          </w:tcPr>
          <w:p>
            <w:r>
              <w:rPr>
                <w:rFonts w:ascii="Calibri" w:hAnsi="Calibri"/>
                <w:sz w:val="22"/>
              </w:rPr>
              <w:t>Avg. Realized Steel Price ($/ton)</w:t>
            </w:r>
          </w:p>
        </w:tc>
        <w:tc>
          <w:tcPr>
            <w:tcW w:type="dxa" w:w="1234"/>
          </w:tcPr>
          <w:p>
            <w:r>
              <w:rPr>
                <w:rFonts w:ascii="Calibri" w:hAnsi="Calibri"/>
                <w:sz w:val="22"/>
              </w:rPr>
              <w:t>$1,193/ton</w:t>
            </w:r>
          </w:p>
        </w:tc>
        <w:tc>
          <w:tcPr>
            <w:tcW w:type="dxa" w:w="1234"/>
          </w:tcPr>
          <w:p>
            <w:r>
              <w:rPr>
                <w:rFonts w:ascii="Calibri" w:hAnsi="Calibri"/>
                <w:sz w:val="22"/>
              </w:rPr>
              <w:t>$1,134/ton</w:t>
            </w:r>
          </w:p>
        </w:tc>
        <w:tc>
          <w:tcPr>
            <w:tcW w:type="dxa" w:w="1234"/>
          </w:tcPr>
          <w:p>
            <w:r>
              <w:rPr>
                <w:rFonts w:ascii="Calibri" w:hAnsi="Calibri"/>
                <w:sz w:val="22"/>
              </w:rPr>
              <w:t>$1,266/ton</w:t>
            </w:r>
          </w:p>
        </w:tc>
        <w:tc>
          <w:tcPr>
            <w:tcW w:type="dxa" w:w="1234"/>
          </w:tcPr>
          <w:p>
            <w:r>
              <w:rPr>
                <w:rFonts w:ascii="Calibri" w:hAnsi="Calibri"/>
                <w:sz w:val="22"/>
              </w:rPr>
              <w:t>+11.6% YoY</w:t>
            </w:r>
          </w:p>
        </w:tc>
        <w:tc>
          <w:tcPr>
            <w:tcW w:type="dxa" w:w="1234"/>
          </w:tcPr>
          <w:p>
            <w:r>
              <w:rPr>
                <w:rFonts w:ascii="Calibri" w:hAnsi="Calibri"/>
                <w:sz w:val="22"/>
              </w:rPr>
              <w:t>Higher avg. selling values</w:t>
            </w:r>
          </w:p>
        </w:tc>
        <w:tc>
          <w:tcPr>
            <w:tcW w:type="dxa" w:w="1234"/>
          </w:tcPr>
          <w:p>
            <w:r>
              <w:rPr>
                <w:rFonts w:ascii="Calibri" w:hAnsi="Calibri"/>
                <w:sz w:val="22"/>
              </w:rPr>
              <w:t>N/A (directional only)</w:t>
            </w:r>
          </w:p>
        </w:tc>
      </w:tr>
      <w:tr>
        <w:tc>
          <w:tcPr>
            <w:tcW w:type="dxa" w:w="1234"/>
          </w:tcPr>
          <w:p>
            <w:r>
              <w:rPr>
                <w:rFonts w:ascii="Calibri" w:hAnsi="Calibri"/>
                <w:sz w:val="22"/>
              </w:rPr>
              <w:t>Scrap Cost per Ton ($)</w:t>
            </w:r>
          </w:p>
        </w:tc>
        <w:tc>
          <w:tcPr>
            <w:tcW w:type="dxa" w:w="1234"/>
          </w:tcPr>
          <w:p>
            <w:r>
              <w:rPr>
                <w:rFonts w:ascii="Calibri" w:hAnsi="Calibri"/>
                <w:sz w:val="22"/>
              </w:rPr>
              <w:t>$396/ton</w:t>
            </w:r>
          </w:p>
        </w:tc>
        <w:tc>
          <w:tcPr>
            <w:tcW w:type="dxa" w:w="1234"/>
          </w:tcPr>
          <w:p>
            <w:r>
              <w:rPr>
                <w:rFonts w:ascii="Calibri" w:hAnsi="Calibri"/>
                <w:sz w:val="22"/>
              </w:rPr>
              <w:t>$408/ton</w:t>
            </w:r>
          </w:p>
        </w:tc>
        <w:tc>
          <w:tcPr>
            <w:tcW w:type="dxa" w:w="1234"/>
          </w:tcPr>
          <w:p>
            <w:r>
              <w:rPr>
                <w:rFonts w:ascii="Calibri" w:hAnsi="Calibri"/>
                <w:sz w:val="22"/>
              </w:rPr>
              <w:t>$415/ton</w:t>
            </w:r>
          </w:p>
        </w:tc>
        <w:tc>
          <w:tcPr>
            <w:tcW w:type="dxa" w:w="1234"/>
          </w:tcPr>
          <w:p>
            <w:r>
              <w:rPr>
                <w:rFonts w:ascii="Calibri" w:hAnsi="Calibri"/>
                <w:sz w:val="22"/>
              </w:rPr>
              <w:t>+1.7% YoY</w:t>
            </w:r>
          </w:p>
        </w:tc>
        <w:tc>
          <w:tcPr>
            <w:tcW w:type="dxa" w:w="1234"/>
          </w:tcPr>
          <w:p>
            <w:r>
              <w:rPr>
                <w:rFonts w:ascii="Calibri" w:hAnsi="Calibri"/>
                <w:sz w:val="22"/>
              </w:rPr>
              <w:t>Increased vs. Q1</w:t>
            </w:r>
          </w:p>
        </w:tc>
        <w:tc>
          <w:tcPr>
            <w:tcW w:type="dxa" w:w="1234"/>
          </w:tcPr>
          <w:p>
            <w:r>
              <w:rPr>
                <w:rFonts w:ascii="Calibri" w:hAnsi="Calibri"/>
                <w:sz w:val="22"/>
              </w:rPr>
              <w:t>N/A (directional only)</w:t>
            </w:r>
          </w:p>
        </w:tc>
      </w:tr>
      <w:tr>
        <w:tc>
          <w:tcPr>
            <w:tcW w:type="dxa" w:w="1234"/>
          </w:tcPr>
          <w:p>
            <w:r>
              <w:rPr>
                <w:rFonts w:ascii="Calibri" w:hAnsi="Calibri"/>
                <w:sz w:val="22"/>
              </w:rPr>
              <w:t>Free Cash Flow ($M)</w:t>
            </w:r>
          </w:p>
        </w:tc>
        <w:tc>
          <w:tcPr>
            <w:tcW w:type="dxa" w:w="1234"/>
          </w:tcPr>
          <w:p>
            <w:r>
              <w:rPr>
                <w:rFonts w:ascii="Calibri" w:hAnsi="Calibri"/>
                <w:sz w:val="22"/>
              </w:rPr>
              <w:t>$10M</w:t>
            </w:r>
          </w:p>
        </w:tc>
        <w:tc>
          <w:tcPr>
            <w:tcW w:type="dxa" w:w="1234"/>
          </w:tcPr>
          <w:p>
            <w:r>
              <w:rPr>
                <w:rFonts w:ascii="Calibri" w:hAnsi="Calibri"/>
                <w:sz w:val="22"/>
              </w:rPr>
              <w:t>$13M</w:t>
            </w:r>
          </w:p>
        </w:tc>
        <w:tc>
          <w:tcPr>
            <w:tcW w:type="dxa" w:w="1234"/>
          </w:tcPr>
          <w:p>
            <w:r>
              <w:rPr>
                <w:rFonts w:ascii="Calibri" w:hAnsi="Calibri"/>
                <w:sz w:val="22"/>
              </w:rPr>
              <w:t>$525M</w:t>
            </w:r>
          </w:p>
        </w:tc>
        <w:tc>
          <w:tcPr>
            <w:tcW w:type="dxa" w:w="1234"/>
          </w:tcPr>
          <w:p>
            <w:r>
              <w:rPr>
                <w:rFonts w:ascii="Calibri" w:hAnsi="Calibri"/>
                <w:sz w:val="22"/>
              </w:rPr>
              <w:t>N/M</w:t>
            </w:r>
          </w:p>
        </w:tc>
        <w:tc>
          <w:tcPr>
            <w:tcW w:type="dxa" w:w="1234"/>
          </w:tcPr>
          <w:p>
            <w:r>
              <w:rPr>
                <w:rFonts w:ascii="Calibri" w:hAnsi="Calibri"/>
                <w:sz w:val="22"/>
              </w:rPr>
              <w:t>Not provided</w:t>
            </w:r>
          </w:p>
        </w:tc>
        <w:tc>
          <w:tcPr>
            <w:tcW w:type="dxa" w:w="1234"/>
          </w:tcPr>
          <w:p>
            <w:r>
              <w:rPr>
                <w:rFonts w:ascii="Calibri" w:hAnsi="Calibri"/>
                <w:sz w:val="22"/>
              </w:rPr>
              <w:t>N/A</w:t>
            </w:r>
          </w:p>
        </w:tc>
      </w:tr>
      <w:tr>
        <w:tc>
          <w:tcPr>
            <w:tcW w:type="dxa" w:w="1234"/>
          </w:tcPr>
          <w:p>
            <w:r>
              <w:rPr>
                <w:rFonts w:ascii="Calibri" w:hAnsi="Calibri"/>
                <w:sz w:val="22"/>
              </w:rPr>
              <w:t>Capex ($M)</w:t>
            </w:r>
          </w:p>
        </w:tc>
        <w:tc>
          <w:tcPr>
            <w:tcW w:type="dxa" w:w="1234"/>
          </w:tcPr>
          <w:p>
            <w:r>
              <w:rPr>
                <w:rFonts w:ascii="Calibri" w:hAnsi="Calibri"/>
                <w:sz w:val="22"/>
              </w:rPr>
              <w:t>$138M</w:t>
            </w:r>
          </w:p>
        </w:tc>
        <w:tc>
          <w:tcPr>
            <w:tcW w:type="dxa" w:w="1234"/>
          </w:tcPr>
          <w:p>
            <w:r>
              <w:rPr>
                <w:rFonts w:ascii="Calibri" w:hAnsi="Calibri"/>
                <w:sz w:val="22"/>
              </w:rPr>
              <w:t>$288M</w:t>
            </w:r>
          </w:p>
        </w:tc>
        <w:tc>
          <w:tcPr>
            <w:tcW w:type="dxa" w:w="1234"/>
          </w:tcPr>
          <w:p>
            <w:r>
              <w:rPr>
                <w:rFonts w:ascii="Calibri" w:hAnsi="Calibri"/>
                <w:sz w:val="22"/>
              </w:rPr>
              <w:t>$158M</w:t>
            </w:r>
          </w:p>
        </w:tc>
        <w:tc>
          <w:tcPr>
            <w:tcW w:type="dxa" w:w="1234"/>
          </w:tcPr>
          <w:p>
            <w:r>
              <w:rPr>
                <w:rFonts w:ascii="Calibri" w:hAnsi="Calibri"/>
                <w:sz w:val="22"/>
              </w:rPr>
              <w:t>-45.1% YoY</w:t>
            </w:r>
          </w:p>
        </w:tc>
        <w:tc>
          <w:tcPr>
            <w:tcW w:type="dxa" w:w="1234"/>
          </w:tcPr>
          <w:p>
            <w:r>
              <w:rPr>
                <w:rFonts w:ascii="Calibri" w:hAnsi="Calibri"/>
                <w:sz w:val="22"/>
              </w:rPr>
              <w:t>~$600M FY2026 total</w:t>
            </w:r>
          </w:p>
        </w:tc>
        <w:tc>
          <w:tcPr>
            <w:tcW w:type="dxa" w:w="1234"/>
          </w:tcPr>
          <w:p>
            <w:r>
              <w:rPr>
                <w:rFonts w:ascii="Calibri" w:hAnsi="Calibri"/>
                <w:sz w:val="22"/>
              </w:rPr>
              <w:t>N/A (FY guidance)</w:t>
            </w:r>
          </w:p>
        </w:tc>
      </w:tr>
    </w:tbl>
    <w:p>
      <w:r>
        <w:rPr>
          <w:rFonts w:ascii="Calibri" w:hAnsi="Calibri"/>
          <w:i/>
          <w:color w:val="525866"/>
          <w:sz w:val="22"/>
        </w:rPr>
        <w:t>Source: Visible Alpha Consensus and Actuals Data; STLD Q1 2026 Earnings Release (April 20, 2026); STLD June 17, 2026 Pre-Announcement 8-K.</w:t>
      </w:r>
    </w:p>
    <w:p>
      <w:pPr>
        <w:pStyle w:val="Heading3"/>
      </w:pPr>
      <w:r>
        <w:rPr>
          <w:rFonts w:ascii="Calibri" w:hAnsi="Calibri"/>
          <w:b/>
          <w:color w:val="3B4259"/>
          <w:sz w:val="24"/>
        </w:rPr>
        <w:t>Table 2 — Beat/Miss History (Last 8 Quarters — Top 2 KPIs: Operating EPS &amp; Steel EBITDA)</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Quarter</w:t>
            </w:r>
          </w:p>
        </w:tc>
        <w:tc>
          <w:tcPr>
            <w:tcW w:type="dxa" w:w="1440"/>
            <w:shd w:val="clear" w:color="auto" w:fill="3B4259"/>
          </w:tcPr>
          <w:p>
            <w:r>
              <w:rPr>
                <w:rFonts w:ascii="Calibri" w:hAnsi="Calibri"/>
                <w:b/>
                <w:color w:val="FFFFFF"/>
                <w:sz w:val="22"/>
              </w:rPr>
              <w:t>KPI</w:t>
            </w:r>
          </w:p>
        </w:tc>
        <w:tc>
          <w:tcPr>
            <w:tcW w:type="dxa" w:w="1440"/>
            <w:shd w:val="clear" w:color="auto" w:fill="3B4259"/>
          </w:tcPr>
          <w:p>
            <w:r>
              <w:rPr>
                <w:rFonts w:ascii="Calibri" w:hAnsi="Calibri"/>
                <w:b/>
                <w:color w:val="FFFFFF"/>
                <w:sz w:val="22"/>
              </w:rPr>
              <w:t>Reported</w:t>
            </w:r>
          </w:p>
        </w:tc>
        <w:tc>
          <w:tcPr>
            <w:tcW w:type="dxa" w:w="1440"/>
            <w:shd w:val="clear" w:color="auto" w:fill="3B4259"/>
          </w:tcPr>
          <w:p>
            <w:r>
              <w:rPr>
                <w:rFonts w:ascii="Calibri" w:hAnsi="Calibri"/>
                <w:b/>
                <w:color w:val="FFFFFF"/>
                <w:sz w:val="22"/>
              </w:rPr>
              <w:t>Consensus</w:t>
            </w:r>
          </w:p>
        </w:tc>
        <w:tc>
          <w:tcPr>
            <w:tcW w:type="dxa" w:w="1440"/>
            <w:shd w:val="clear" w:color="auto" w:fill="3B4259"/>
          </w:tcPr>
          <w:p>
            <w:r>
              <w:rPr>
                <w:rFonts w:ascii="Calibri" w:hAnsi="Calibri"/>
                <w:b/>
                <w:color w:val="FFFFFF"/>
                <w:sz w:val="22"/>
              </w:rPr>
              <w:t>Surprise %</w:t>
            </w:r>
          </w:p>
        </w:tc>
        <w:tc>
          <w:tcPr>
            <w:tcW w:type="dxa" w:w="1440"/>
            <w:shd w:val="clear" w:color="auto" w:fill="3B4259"/>
          </w:tcPr>
          <w:p>
            <w:r>
              <w:rPr>
                <w:rFonts w:ascii="Calibri" w:hAnsi="Calibri"/>
                <w:b/>
                <w:color w:val="FFFFFF"/>
                <w:sz w:val="22"/>
              </w:rPr>
              <w:t>Result</w:t>
            </w:r>
          </w:p>
        </w:tc>
      </w:tr>
      <w:tr>
        <w:tc>
          <w:tcPr>
            <w:tcW w:type="dxa" w:w="1440"/>
          </w:tcPr>
          <w:p>
            <w:r>
              <w:rPr>
                <w:rFonts w:ascii="Calibri" w:hAnsi="Calibri"/>
                <w:sz w:val="22"/>
              </w:rPr>
              <w:t>Q1 2026</w:t>
            </w:r>
          </w:p>
        </w:tc>
        <w:tc>
          <w:tcPr>
            <w:tcW w:type="dxa" w:w="1440"/>
          </w:tcPr>
          <w:p>
            <w:r>
              <w:rPr>
                <w:rFonts w:ascii="Calibri" w:hAnsi="Calibri"/>
                <w:sz w:val="22"/>
              </w:rPr>
              <w:t>Operating EPS</w:t>
            </w:r>
          </w:p>
        </w:tc>
        <w:tc>
          <w:tcPr>
            <w:tcW w:type="dxa" w:w="1440"/>
          </w:tcPr>
          <w:p>
            <w:r>
              <w:rPr>
                <w:rFonts w:ascii="Calibri" w:hAnsi="Calibri"/>
                <w:sz w:val="22"/>
              </w:rPr>
              <w:t>$2.78</w:t>
            </w:r>
          </w:p>
        </w:tc>
        <w:tc>
          <w:tcPr>
            <w:tcW w:type="dxa" w:w="1440"/>
          </w:tcPr>
          <w:p>
            <w:r>
              <w:rPr>
                <w:rFonts w:ascii="Calibri" w:hAnsi="Calibri"/>
                <w:sz w:val="22"/>
              </w:rPr>
              <w:t>$2.78</w:t>
            </w:r>
          </w:p>
        </w:tc>
        <w:tc>
          <w:tcPr>
            <w:tcW w:type="dxa" w:w="1440"/>
          </w:tcPr>
          <w:p>
            <w:r>
              <w:rPr>
                <w:rFonts w:ascii="Calibri" w:hAnsi="Calibri"/>
                <w:sz w:val="22"/>
              </w:rPr>
              <w:t>0.0%</w:t>
            </w:r>
          </w:p>
        </w:tc>
        <w:tc>
          <w:tcPr>
            <w:tcW w:type="dxa" w:w="1440"/>
          </w:tcPr>
          <w:p>
            <w:r>
              <w:rPr>
                <w:rFonts w:ascii="Calibri" w:hAnsi="Calibri"/>
                <w:sz w:val="22"/>
              </w:rPr>
              <w:t>In-Line (beat own guidance high end)</w:t>
            </w:r>
          </w:p>
        </w:tc>
      </w:tr>
      <w:tr>
        <w:tc>
          <w:tcPr>
            <w:tcW w:type="dxa" w:w="1440"/>
          </w:tcPr>
          <w:p>
            <w:r>
              <w:rPr>
                <w:rFonts w:ascii="Calibri" w:hAnsi="Calibri"/>
                <w:sz w:val="22"/>
              </w:rPr>
              <w:t>Q1 2026</w:t>
            </w:r>
          </w:p>
        </w:tc>
        <w:tc>
          <w:tcPr>
            <w:tcW w:type="dxa" w:w="1440"/>
          </w:tcPr>
          <w:p>
            <w:r>
              <w:rPr>
                <w:rFonts w:ascii="Calibri" w:hAnsi="Calibri"/>
                <w:sz w:val="22"/>
              </w:rPr>
              <w:t>Steel EBITDA</w:t>
            </w:r>
          </w:p>
        </w:tc>
        <w:tc>
          <w:tcPr>
            <w:tcW w:type="dxa" w:w="1440"/>
          </w:tcPr>
          <w:p>
            <w:r>
              <w:rPr>
                <w:rFonts w:ascii="Calibri" w:hAnsi="Calibri"/>
                <w:sz w:val="22"/>
              </w:rPr>
              <w:t>$663M</w:t>
            </w:r>
          </w:p>
        </w:tc>
        <w:tc>
          <w:tcPr>
            <w:tcW w:type="dxa" w:w="1440"/>
          </w:tcPr>
          <w:p>
            <w:r>
              <w:rPr>
                <w:rFonts w:ascii="Calibri" w:hAnsi="Calibri"/>
                <w:sz w:val="22"/>
              </w:rPr>
              <w:t>$608M</w:t>
            </w:r>
          </w:p>
        </w:tc>
        <w:tc>
          <w:tcPr>
            <w:tcW w:type="dxa" w:w="1440"/>
          </w:tcPr>
          <w:p>
            <w:r>
              <w:rPr>
                <w:rFonts w:ascii="Calibri" w:hAnsi="Calibri"/>
                <w:sz w:val="22"/>
              </w:rPr>
              <w:t>+9.0%</w:t>
            </w:r>
          </w:p>
        </w:tc>
        <w:tc>
          <w:tcPr>
            <w:tcW w:type="dxa" w:w="1440"/>
          </w:tcPr>
          <w:p>
            <w:r>
              <w:rPr>
                <w:rFonts w:ascii="Calibri" w:hAnsi="Calibri"/>
                <w:b/>
                <w:color w:val="30A46C"/>
                <w:sz w:val="22"/>
              </w:rPr>
              <w:t>Beat</w:t>
            </w:r>
          </w:p>
        </w:tc>
      </w:tr>
      <w:tr>
        <w:tc>
          <w:tcPr>
            <w:tcW w:type="dxa" w:w="1440"/>
          </w:tcPr>
          <w:p>
            <w:r>
              <w:rPr>
                <w:rFonts w:ascii="Calibri" w:hAnsi="Calibri"/>
                <w:sz w:val="22"/>
              </w:rPr>
              <w:t>Q4 2025</w:t>
            </w:r>
          </w:p>
        </w:tc>
        <w:tc>
          <w:tcPr>
            <w:tcW w:type="dxa" w:w="1440"/>
          </w:tcPr>
          <w:p>
            <w:r>
              <w:rPr>
                <w:rFonts w:ascii="Calibri" w:hAnsi="Calibri"/>
                <w:sz w:val="22"/>
              </w:rPr>
              <w:t>Operating EPS</w:t>
            </w:r>
          </w:p>
        </w:tc>
        <w:tc>
          <w:tcPr>
            <w:tcW w:type="dxa" w:w="1440"/>
          </w:tcPr>
          <w:p>
            <w:r>
              <w:rPr>
                <w:rFonts w:ascii="Calibri" w:hAnsi="Calibri"/>
                <w:sz w:val="22"/>
              </w:rPr>
              <w:t>$1.82</w:t>
            </w:r>
          </w:p>
        </w:tc>
        <w:tc>
          <w:tcPr>
            <w:tcW w:type="dxa" w:w="1440"/>
          </w:tcPr>
          <w:p>
            <w:r>
              <w:rPr>
                <w:rFonts w:ascii="Calibri" w:hAnsi="Calibri"/>
                <w:sz w:val="22"/>
              </w:rPr>
              <w:t>$1.70</w:t>
            </w:r>
          </w:p>
        </w:tc>
        <w:tc>
          <w:tcPr>
            <w:tcW w:type="dxa" w:w="1440"/>
          </w:tcPr>
          <w:p>
            <w:r>
              <w:rPr>
                <w:rFonts w:ascii="Calibri" w:hAnsi="Calibri"/>
                <w:sz w:val="22"/>
              </w:rPr>
              <w:t>+6.9%</w:t>
            </w:r>
          </w:p>
        </w:tc>
        <w:tc>
          <w:tcPr>
            <w:tcW w:type="dxa" w:w="1440"/>
          </w:tcPr>
          <w:p>
            <w:r>
              <w:rPr>
                <w:rFonts w:ascii="Calibri" w:hAnsi="Calibri"/>
                <w:b/>
                <w:color w:val="30A46C"/>
                <w:sz w:val="22"/>
              </w:rPr>
              <w:t>Beat</w:t>
            </w:r>
          </w:p>
        </w:tc>
      </w:tr>
      <w:tr>
        <w:tc>
          <w:tcPr>
            <w:tcW w:type="dxa" w:w="1440"/>
          </w:tcPr>
          <w:p>
            <w:r>
              <w:rPr>
                <w:rFonts w:ascii="Calibri" w:hAnsi="Calibri"/>
                <w:sz w:val="22"/>
              </w:rPr>
              <w:t>Q4 2025</w:t>
            </w:r>
          </w:p>
        </w:tc>
        <w:tc>
          <w:tcPr>
            <w:tcW w:type="dxa" w:w="1440"/>
          </w:tcPr>
          <w:p>
            <w:r>
              <w:rPr>
                <w:rFonts w:ascii="Calibri" w:hAnsi="Calibri"/>
                <w:sz w:val="22"/>
              </w:rPr>
              <w:t>Steel EBITDA</w:t>
            </w:r>
          </w:p>
        </w:tc>
        <w:tc>
          <w:tcPr>
            <w:tcW w:type="dxa" w:w="1440"/>
          </w:tcPr>
          <w:p>
            <w:r>
              <w:rPr>
                <w:rFonts w:ascii="Calibri" w:hAnsi="Calibri"/>
                <w:sz w:val="22"/>
              </w:rPr>
              <w:t>$425M</w:t>
            </w:r>
          </w:p>
        </w:tc>
        <w:tc>
          <w:tcPr>
            <w:tcW w:type="dxa" w:w="1440"/>
          </w:tcPr>
          <w:p>
            <w:r>
              <w:rPr>
                <w:rFonts w:ascii="Calibri" w:hAnsi="Calibri"/>
                <w:sz w:val="22"/>
              </w:rPr>
              <w:t>$415M</w:t>
            </w:r>
          </w:p>
        </w:tc>
        <w:tc>
          <w:tcPr>
            <w:tcW w:type="dxa" w:w="1440"/>
          </w:tcPr>
          <w:p>
            <w:r>
              <w:rPr>
                <w:rFonts w:ascii="Calibri" w:hAnsi="Calibri"/>
                <w:sz w:val="22"/>
              </w:rPr>
              <w:t>+2.4%</w:t>
            </w:r>
          </w:p>
        </w:tc>
        <w:tc>
          <w:tcPr>
            <w:tcW w:type="dxa" w:w="1440"/>
          </w:tcPr>
          <w:p>
            <w:r>
              <w:rPr>
                <w:rFonts w:ascii="Calibri" w:hAnsi="Calibri"/>
                <w:b/>
                <w:color w:val="30A46C"/>
                <w:sz w:val="22"/>
              </w:rPr>
              <w:t>Beat</w:t>
            </w:r>
          </w:p>
        </w:tc>
      </w:tr>
      <w:tr>
        <w:tc>
          <w:tcPr>
            <w:tcW w:type="dxa" w:w="1440"/>
          </w:tcPr>
          <w:p>
            <w:r>
              <w:rPr>
                <w:rFonts w:ascii="Calibri" w:hAnsi="Calibri"/>
                <w:sz w:val="22"/>
              </w:rPr>
              <w:t>Q3 2025</w:t>
            </w:r>
          </w:p>
        </w:tc>
        <w:tc>
          <w:tcPr>
            <w:tcW w:type="dxa" w:w="1440"/>
          </w:tcPr>
          <w:p>
            <w:r>
              <w:rPr>
                <w:rFonts w:ascii="Calibri" w:hAnsi="Calibri"/>
                <w:sz w:val="22"/>
              </w:rPr>
              <w:t>Operating EPS</w:t>
            </w:r>
          </w:p>
        </w:tc>
        <w:tc>
          <w:tcPr>
            <w:tcW w:type="dxa" w:w="1440"/>
          </w:tcPr>
          <w:p>
            <w:r>
              <w:rPr>
                <w:rFonts w:ascii="Calibri" w:hAnsi="Calibri"/>
                <w:sz w:val="22"/>
              </w:rPr>
              <w:t>$2.74</w:t>
            </w:r>
          </w:p>
        </w:tc>
        <w:tc>
          <w:tcPr>
            <w:tcW w:type="dxa" w:w="1440"/>
          </w:tcPr>
          <w:p>
            <w:r>
              <w:rPr>
                <w:rFonts w:ascii="Calibri" w:hAnsi="Calibri"/>
                <w:sz w:val="22"/>
              </w:rPr>
              <w:t>$2.63</w:t>
            </w:r>
          </w:p>
        </w:tc>
        <w:tc>
          <w:tcPr>
            <w:tcW w:type="dxa" w:w="1440"/>
          </w:tcPr>
          <w:p>
            <w:r>
              <w:rPr>
                <w:rFonts w:ascii="Calibri" w:hAnsi="Calibri"/>
                <w:sz w:val="22"/>
              </w:rPr>
              <w:t>+4.2%</w:t>
            </w:r>
          </w:p>
        </w:tc>
        <w:tc>
          <w:tcPr>
            <w:tcW w:type="dxa" w:w="1440"/>
          </w:tcPr>
          <w:p>
            <w:r>
              <w:rPr>
                <w:rFonts w:ascii="Calibri" w:hAnsi="Calibri"/>
                <w:b/>
                <w:color w:val="30A46C"/>
                <w:sz w:val="22"/>
              </w:rPr>
              <w:t>Beat</w:t>
            </w:r>
          </w:p>
        </w:tc>
      </w:tr>
      <w:tr>
        <w:tc>
          <w:tcPr>
            <w:tcW w:type="dxa" w:w="1440"/>
          </w:tcPr>
          <w:p>
            <w:r>
              <w:rPr>
                <w:rFonts w:ascii="Calibri" w:hAnsi="Calibri"/>
                <w:sz w:val="22"/>
              </w:rPr>
              <w:t>Q3 2025</w:t>
            </w:r>
          </w:p>
        </w:tc>
        <w:tc>
          <w:tcPr>
            <w:tcW w:type="dxa" w:w="1440"/>
          </w:tcPr>
          <w:p>
            <w:r>
              <w:rPr>
                <w:rFonts w:ascii="Calibri" w:hAnsi="Calibri"/>
                <w:sz w:val="22"/>
              </w:rPr>
              <w:t>Steel EBITDA</w:t>
            </w:r>
          </w:p>
        </w:tc>
        <w:tc>
          <w:tcPr>
            <w:tcW w:type="dxa" w:w="1440"/>
          </w:tcPr>
          <w:p>
            <w:r>
              <w:rPr>
                <w:rFonts w:ascii="Calibri" w:hAnsi="Calibri"/>
                <w:sz w:val="22"/>
              </w:rPr>
              <w:t>$600M</w:t>
            </w:r>
          </w:p>
        </w:tc>
        <w:tc>
          <w:tcPr>
            <w:tcW w:type="dxa" w:w="1440"/>
          </w:tcPr>
          <w:p>
            <w:r>
              <w:rPr>
                <w:rFonts w:ascii="Calibri" w:hAnsi="Calibri"/>
                <w:sz w:val="22"/>
              </w:rPr>
              <w:t>$602M</w:t>
            </w:r>
          </w:p>
        </w:tc>
        <w:tc>
          <w:tcPr>
            <w:tcW w:type="dxa" w:w="1440"/>
          </w:tcPr>
          <w:p>
            <w:r>
              <w:rPr>
                <w:rFonts w:ascii="Calibri" w:hAnsi="Calibri"/>
                <w:sz w:val="22"/>
              </w:rPr>
              <w:t>-0.3%</w:t>
            </w:r>
          </w:p>
        </w:tc>
        <w:tc>
          <w:tcPr>
            <w:tcW w:type="dxa" w:w="1440"/>
          </w:tcPr>
          <w:p>
            <w:r>
              <w:rPr>
                <w:rFonts w:ascii="Calibri" w:hAnsi="Calibri"/>
                <w:sz w:val="22"/>
              </w:rPr>
              <w:t>In-Line</w:t>
            </w:r>
          </w:p>
        </w:tc>
      </w:tr>
      <w:tr>
        <w:tc>
          <w:tcPr>
            <w:tcW w:type="dxa" w:w="1440"/>
          </w:tcPr>
          <w:p>
            <w:r>
              <w:rPr>
                <w:rFonts w:ascii="Calibri" w:hAnsi="Calibri"/>
                <w:sz w:val="22"/>
              </w:rPr>
              <w:t>Q2 2025</w:t>
            </w:r>
          </w:p>
        </w:tc>
        <w:tc>
          <w:tcPr>
            <w:tcW w:type="dxa" w:w="1440"/>
          </w:tcPr>
          <w:p>
            <w:r>
              <w:rPr>
                <w:rFonts w:ascii="Calibri" w:hAnsi="Calibri"/>
                <w:sz w:val="22"/>
              </w:rPr>
              <w:t>Operating EPS</w:t>
            </w:r>
          </w:p>
        </w:tc>
        <w:tc>
          <w:tcPr>
            <w:tcW w:type="dxa" w:w="1440"/>
          </w:tcPr>
          <w:p>
            <w:r>
              <w:rPr>
                <w:rFonts w:ascii="Calibri" w:hAnsi="Calibri"/>
                <w:sz w:val="22"/>
              </w:rPr>
              <w:t>$2.01</w:t>
            </w:r>
          </w:p>
        </w:tc>
        <w:tc>
          <w:tcPr>
            <w:tcW w:type="dxa" w:w="1440"/>
          </w:tcPr>
          <w:p>
            <w:r>
              <w:rPr>
                <w:rFonts w:ascii="Calibri" w:hAnsi="Calibri"/>
                <w:sz w:val="22"/>
              </w:rPr>
              <w:t>$2.20</w:t>
            </w:r>
          </w:p>
        </w:tc>
        <w:tc>
          <w:tcPr>
            <w:tcW w:type="dxa" w:w="1440"/>
          </w:tcPr>
          <w:p>
            <w:r>
              <w:rPr>
                <w:rFonts w:ascii="Calibri" w:hAnsi="Calibri"/>
                <w:sz w:val="22"/>
              </w:rPr>
              <w:t>-8.7%</w:t>
            </w:r>
          </w:p>
        </w:tc>
        <w:tc>
          <w:tcPr>
            <w:tcW w:type="dxa" w:w="1440"/>
          </w:tcPr>
          <w:p>
            <w:r>
              <w:rPr>
                <w:rFonts w:ascii="Calibri" w:hAnsi="Calibri"/>
                <w:b/>
                <w:color w:val="E5484D"/>
                <w:sz w:val="22"/>
              </w:rPr>
              <w:t>Miss</w:t>
            </w:r>
          </w:p>
        </w:tc>
      </w:tr>
      <w:tr>
        <w:tc>
          <w:tcPr>
            <w:tcW w:type="dxa" w:w="1440"/>
          </w:tcPr>
          <w:p>
            <w:r>
              <w:rPr>
                <w:rFonts w:ascii="Calibri" w:hAnsi="Calibri"/>
                <w:sz w:val="22"/>
              </w:rPr>
              <w:t>Q2 2025</w:t>
            </w:r>
          </w:p>
        </w:tc>
        <w:tc>
          <w:tcPr>
            <w:tcW w:type="dxa" w:w="1440"/>
          </w:tcPr>
          <w:p>
            <w:r>
              <w:rPr>
                <w:rFonts w:ascii="Calibri" w:hAnsi="Calibri"/>
                <w:sz w:val="22"/>
              </w:rPr>
              <w:t>Steel EBITDA</w:t>
            </w:r>
          </w:p>
        </w:tc>
        <w:tc>
          <w:tcPr>
            <w:tcW w:type="dxa" w:w="1440"/>
          </w:tcPr>
          <w:p>
            <w:r>
              <w:rPr>
                <w:rFonts w:ascii="Calibri" w:hAnsi="Calibri"/>
                <w:sz w:val="22"/>
              </w:rPr>
              <w:t>$480M</w:t>
            </w:r>
          </w:p>
        </w:tc>
        <w:tc>
          <w:tcPr>
            <w:tcW w:type="dxa" w:w="1440"/>
          </w:tcPr>
          <w:p>
            <w:r>
              <w:rPr>
                <w:rFonts w:ascii="Calibri" w:hAnsi="Calibri"/>
                <w:sz w:val="22"/>
              </w:rPr>
              <w:t>$542M</w:t>
            </w:r>
          </w:p>
        </w:tc>
        <w:tc>
          <w:tcPr>
            <w:tcW w:type="dxa" w:w="1440"/>
          </w:tcPr>
          <w:p>
            <w:r>
              <w:rPr>
                <w:rFonts w:ascii="Calibri" w:hAnsi="Calibri"/>
                <w:sz w:val="22"/>
              </w:rPr>
              <w:t>-11.4%</w:t>
            </w:r>
          </w:p>
        </w:tc>
        <w:tc>
          <w:tcPr>
            <w:tcW w:type="dxa" w:w="1440"/>
          </w:tcPr>
          <w:p>
            <w:r>
              <w:rPr>
                <w:rFonts w:ascii="Calibri" w:hAnsi="Calibri"/>
                <w:b/>
                <w:color w:val="E5484D"/>
                <w:sz w:val="22"/>
              </w:rPr>
              <w:t>Miss</w:t>
            </w:r>
          </w:p>
        </w:tc>
      </w:tr>
      <w:tr>
        <w:tc>
          <w:tcPr>
            <w:tcW w:type="dxa" w:w="1440"/>
          </w:tcPr>
          <w:p>
            <w:r>
              <w:rPr>
                <w:rFonts w:ascii="Calibri" w:hAnsi="Calibri"/>
                <w:sz w:val="22"/>
              </w:rPr>
              <w:t>Q1 2025</w:t>
            </w:r>
          </w:p>
        </w:tc>
        <w:tc>
          <w:tcPr>
            <w:tcW w:type="dxa" w:w="1440"/>
          </w:tcPr>
          <w:p>
            <w:r>
              <w:rPr>
                <w:rFonts w:ascii="Calibri" w:hAnsi="Calibri"/>
                <w:sz w:val="22"/>
              </w:rPr>
              <w:t>Operating EPS</w:t>
            </w:r>
          </w:p>
        </w:tc>
        <w:tc>
          <w:tcPr>
            <w:tcW w:type="dxa" w:w="1440"/>
          </w:tcPr>
          <w:p>
            <w:r>
              <w:rPr>
                <w:rFonts w:ascii="Calibri" w:hAnsi="Calibri"/>
                <w:sz w:val="22"/>
              </w:rPr>
              <w:t>$1.44</w:t>
            </w:r>
          </w:p>
        </w:tc>
        <w:tc>
          <w:tcPr>
            <w:tcW w:type="dxa" w:w="1440"/>
          </w:tcPr>
          <w:p>
            <w:r>
              <w:rPr>
                <w:rFonts w:ascii="Calibri" w:hAnsi="Calibri"/>
                <w:sz w:val="22"/>
              </w:rPr>
              <w:t>$1.38</w:t>
            </w:r>
          </w:p>
        </w:tc>
        <w:tc>
          <w:tcPr>
            <w:tcW w:type="dxa" w:w="1440"/>
          </w:tcPr>
          <w:p>
            <w:r>
              <w:rPr>
                <w:rFonts w:ascii="Calibri" w:hAnsi="Calibri"/>
                <w:sz w:val="22"/>
              </w:rPr>
              <w:t>+4.4%</w:t>
            </w:r>
          </w:p>
        </w:tc>
        <w:tc>
          <w:tcPr>
            <w:tcW w:type="dxa" w:w="1440"/>
          </w:tcPr>
          <w:p>
            <w:r>
              <w:rPr>
                <w:rFonts w:ascii="Calibri" w:hAnsi="Calibri"/>
                <w:b/>
                <w:color w:val="30A46C"/>
                <w:sz w:val="22"/>
              </w:rPr>
              <w:t>Beat</w:t>
            </w:r>
          </w:p>
        </w:tc>
      </w:tr>
      <w:tr>
        <w:tc>
          <w:tcPr>
            <w:tcW w:type="dxa" w:w="1440"/>
          </w:tcPr>
          <w:p>
            <w:r>
              <w:rPr>
                <w:rFonts w:ascii="Calibri" w:hAnsi="Calibri"/>
                <w:sz w:val="22"/>
              </w:rPr>
              <w:t>Q1 2025</w:t>
            </w:r>
          </w:p>
        </w:tc>
        <w:tc>
          <w:tcPr>
            <w:tcW w:type="dxa" w:w="1440"/>
          </w:tcPr>
          <w:p>
            <w:r>
              <w:rPr>
                <w:rFonts w:ascii="Calibri" w:hAnsi="Calibri"/>
                <w:sz w:val="22"/>
              </w:rPr>
              <w:t>Steel EBITDA</w:t>
            </w:r>
          </w:p>
        </w:tc>
        <w:tc>
          <w:tcPr>
            <w:tcW w:type="dxa" w:w="1440"/>
          </w:tcPr>
          <w:p>
            <w:r>
              <w:rPr>
                <w:rFonts w:ascii="Calibri" w:hAnsi="Calibri"/>
                <w:sz w:val="22"/>
              </w:rPr>
              <w:t>$329M</w:t>
            </w:r>
          </w:p>
        </w:tc>
        <w:tc>
          <w:tcPr>
            <w:tcW w:type="dxa" w:w="1440"/>
          </w:tcPr>
          <w:p>
            <w:r>
              <w:rPr>
                <w:rFonts w:ascii="Calibri" w:hAnsi="Calibri"/>
                <w:sz w:val="22"/>
              </w:rPr>
              <w:t>$313M</w:t>
            </w:r>
          </w:p>
        </w:tc>
        <w:tc>
          <w:tcPr>
            <w:tcW w:type="dxa" w:w="1440"/>
          </w:tcPr>
          <w:p>
            <w:r>
              <w:rPr>
                <w:rFonts w:ascii="Calibri" w:hAnsi="Calibri"/>
                <w:sz w:val="22"/>
              </w:rPr>
              <w:t>+5.1%</w:t>
            </w:r>
          </w:p>
        </w:tc>
        <w:tc>
          <w:tcPr>
            <w:tcW w:type="dxa" w:w="1440"/>
          </w:tcPr>
          <w:p>
            <w:r>
              <w:rPr>
                <w:rFonts w:ascii="Calibri" w:hAnsi="Calibri"/>
                <w:b/>
                <w:color w:val="30A46C"/>
                <w:sz w:val="22"/>
              </w:rPr>
              <w:t>Beat</w:t>
            </w:r>
          </w:p>
        </w:tc>
      </w:tr>
      <w:tr>
        <w:tc>
          <w:tcPr>
            <w:tcW w:type="dxa" w:w="1440"/>
          </w:tcPr>
          <w:p>
            <w:r>
              <w:rPr>
                <w:rFonts w:ascii="Calibri" w:hAnsi="Calibri"/>
                <w:sz w:val="22"/>
              </w:rPr>
              <w:t>Q4 2024</w:t>
            </w:r>
          </w:p>
        </w:tc>
        <w:tc>
          <w:tcPr>
            <w:tcW w:type="dxa" w:w="1440"/>
          </w:tcPr>
          <w:p>
            <w:r>
              <w:rPr>
                <w:rFonts w:ascii="Calibri" w:hAnsi="Calibri"/>
                <w:sz w:val="22"/>
              </w:rPr>
              <w:t>Operating EPS</w:t>
            </w:r>
          </w:p>
        </w:tc>
        <w:tc>
          <w:tcPr>
            <w:tcW w:type="dxa" w:w="1440"/>
          </w:tcPr>
          <w:p>
            <w:r>
              <w:rPr>
                <w:rFonts w:ascii="Calibri" w:hAnsi="Calibri"/>
                <w:sz w:val="22"/>
              </w:rPr>
              <w:t>$1.36</w:t>
            </w:r>
          </w:p>
        </w:tc>
        <w:tc>
          <w:tcPr>
            <w:tcW w:type="dxa" w:w="1440"/>
          </w:tcPr>
          <w:p>
            <w:r>
              <w:rPr>
                <w:rFonts w:ascii="Calibri" w:hAnsi="Calibri"/>
                <w:sz w:val="22"/>
              </w:rPr>
              <w:t>$1.32</w:t>
            </w:r>
          </w:p>
        </w:tc>
        <w:tc>
          <w:tcPr>
            <w:tcW w:type="dxa" w:w="1440"/>
          </w:tcPr>
          <w:p>
            <w:r>
              <w:rPr>
                <w:rFonts w:ascii="Calibri" w:hAnsi="Calibri"/>
                <w:sz w:val="22"/>
              </w:rPr>
              <w:t>+3.0%</w:t>
            </w:r>
          </w:p>
        </w:tc>
        <w:tc>
          <w:tcPr>
            <w:tcW w:type="dxa" w:w="1440"/>
          </w:tcPr>
          <w:p>
            <w:r>
              <w:rPr>
                <w:rFonts w:ascii="Calibri" w:hAnsi="Calibri"/>
                <w:b/>
                <w:color w:val="30A46C"/>
                <w:sz w:val="22"/>
              </w:rPr>
              <w:t>Beat</w:t>
            </w:r>
          </w:p>
        </w:tc>
      </w:tr>
      <w:tr>
        <w:tc>
          <w:tcPr>
            <w:tcW w:type="dxa" w:w="1440"/>
          </w:tcPr>
          <w:p>
            <w:r>
              <w:rPr>
                <w:rFonts w:ascii="Calibri" w:hAnsi="Calibri"/>
                <w:sz w:val="22"/>
              </w:rPr>
              <w:t>Q4 2024</w:t>
            </w:r>
          </w:p>
        </w:tc>
        <w:tc>
          <w:tcPr>
            <w:tcW w:type="dxa" w:w="1440"/>
          </w:tcPr>
          <w:p>
            <w:r>
              <w:rPr>
                <w:rFonts w:ascii="Calibri" w:hAnsi="Calibri"/>
                <w:sz w:val="22"/>
              </w:rPr>
              <w:t>Steel EBITDA</w:t>
            </w:r>
          </w:p>
        </w:tc>
        <w:tc>
          <w:tcPr>
            <w:tcW w:type="dxa" w:w="1440"/>
          </w:tcPr>
          <w:p>
            <w:r>
              <w:rPr>
                <w:rFonts w:ascii="Calibri" w:hAnsi="Calibri"/>
                <w:sz w:val="22"/>
              </w:rPr>
              <w:t>$250M</w:t>
            </w:r>
          </w:p>
        </w:tc>
        <w:tc>
          <w:tcPr>
            <w:tcW w:type="dxa" w:w="1440"/>
          </w:tcPr>
          <w:p>
            <w:r>
              <w:rPr>
                <w:rFonts w:ascii="Calibri" w:hAnsi="Calibri"/>
                <w:sz w:val="22"/>
              </w:rPr>
              <w:t>$274M</w:t>
            </w:r>
          </w:p>
        </w:tc>
        <w:tc>
          <w:tcPr>
            <w:tcW w:type="dxa" w:w="1440"/>
          </w:tcPr>
          <w:p>
            <w:r>
              <w:rPr>
                <w:rFonts w:ascii="Calibri" w:hAnsi="Calibri"/>
                <w:sz w:val="22"/>
              </w:rPr>
              <w:t>-8.8%</w:t>
            </w:r>
          </w:p>
        </w:tc>
        <w:tc>
          <w:tcPr>
            <w:tcW w:type="dxa" w:w="1440"/>
          </w:tcPr>
          <w:p>
            <w:r>
              <w:rPr>
                <w:rFonts w:ascii="Calibri" w:hAnsi="Calibri"/>
                <w:b/>
                <w:color w:val="E5484D"/>
                <w:sz w:val="22"/>
              </w:rPr>
              <w:t>Miss</w:t>
            </w:r>
          </w:p>
        </w:tc>
      </w:tr>
      <w:tr>
        <w:tc>
          <w:tcPr>
            <w:tcW w:type="dxa" w:w="1440"/>
          </w:tcPr>
          <w:p>
            <w:r>
              <w:rPr>
                <w:rFonts w:ascii="Calibri" w:hAnsi="Calibri"/>
                <w:sz w:val="22"/>
              </w:rPr>
              <w:t>Q3 2024</w:t>
            </w:r>
          </w:p>
        </w:tc>
        <w:tc>
          <w:tcPr>
            <w:tcW w:type="dxa" w:w="1440"/>
          </w:tcPr>
          <w:p>
            <w:r>
              <w:rPr>
                <w:rFonts w:ascii="Calibri" w:hAnsi="Calibri"/>
                <w:sz w:val="22"/>
              </w:rPr>
              <w:t>Operating EPS</w:t>
            </w:r>
          </w:p>
        </w:tc>
        <w:tc>
          <w:tcPr>
            <w:tcW w:type="dxa" w:w="1440"/>
          </w:tcPr>
          <w:p>
            <w:r>
              <w:rPr>
                <w:rFonts w:ascii="Calibri" w:hAnsi="Calibri"/>
                <w:sz w:val="22"/>
              </w:rPr>
              <w:t>$2.05</w:t>
            </w:r>
          </w:p>
        </w:tc>
        <w:tc>
          <w:tcPr>
            <w:tcW w:type="dxa" w:w="1440"/>
          </w:tcPr>
          <w:p>
            <w:r>
              <w:rPr>
                <w:rFonts w:ascii="Calibri" w:hAnsi="Calibri"/>
                <w:sz w:val="22"/>
              </w:rPr>
              <w:t>$1.98</w:t>
            </w:r>
          </w:p>
        </w:tc>
        <w:tc>
          <w:tcPr>
            <w:tcW w:type="dxa" w:w="1440"/>
          </w:tcPr>
          <w:p>
            <w:r>
              <w:rPr>
                <w:rFonts w:ascii="Calibri" w:hAnsi="Calibri"/>
                <w:sz w:val="22"/>
              </w:rPr>
              <w:t>+3.5%</w:t>
            </w:r>
          </w:p>
        </w:tc>
        <w:tc>
          <w:tcPr>
            <w:tcW w:type="dxa" w:w="1440"/>
          </w:tcPr>
          <w:p>
            <w:r>
              <w:rPr>
                <w:rFonts w:ascii="Calibri" w:hAnsi="Calibri"/>
                <w:b/>
                <w:color w:val="30A46C"/>
                <w:sz w:val="22"/>
              </w:rPr>
              <w:t>Beat</w:t>
            </w:r>
          </w:p>
        </w:tc>
      </w:tr>
      <w:tr>
        <w:tc>
          <w:tcPr>
            <w:tcW w:type="dxa" w:w="1440"/>
          </w:tcPr>
          <w:p>
            <w:r>
              <w:rPr>
                <w:rFonts w:ascii="Calibri" w:hAnsi="Calibri"/>
                <w:sz w:val="22"/>
              </w:rPr>
              <w:t>Q3 2024</w:t>
            </w:r>
          </w:p>
        </w:tc>
        <w:tc>
          <w:tcPr>
            <w:tcW w:type="dxa" w:w="1440"/>
          </w:tcPr>
          <w:p>
            <w:r>
              <w:rPr>
                <w:rFonts w:ascii="Calibri" w:hAnsi="Calibri"/>
                <w:sz w:val="22"/>
              </w:rPr>
              <w:t>Steel EBITDA</w:t>
            </w:r>
          </w:p>
        </w:tc>
        <w:tc>
          <w:tcPr>
            <w:tcW w:type="dxa" w:w="1440"/>
          </w:tcPr>
          <w:p>
            <w:r>
              <w:rPr>
                <w:rFonts w:ascii="Calibri" w:hAnsi="Calibri"/>
                <w:sz w:val="22"/>
              </w:rPr>
              <w:t>$396M</w:t>
            </w:r>
          </w:p>
        </w:tc>
        <w:tc>
          <w:tcPr>
            <w:tcW w:type="dxa" w:w="1440"/>
          </w:tcPr>
          <w:p>
            <w:r>
              <w:rPr>
                <w:rFonts w:ascii="Calibri" w:hAnsi="Calibri"/>
                <w:sz w:val="22"/>
              </w:rPr>
              <w:t>$411M</w:t>
            </w:r>
          </w:p>
        </w:tc>
        <w:tc>
          <w:tcPr>
            <w:tcW w:type="dxa" w:w="1440"/>
          </w:tcPr>
          <w:p>
            <w:r>
              <w:rPr>
                <w:rFonts w:ascii="Calibri" w:hAnsi="Calibri"/>
                <w:sz w:val="22"/>
              </w:rPr>
              <w:t>-3.6%</w:t>
            </w:r>
          </w:p>
        </w:tc>
        <w:tc>
          <w:tcPr>
            <w:tcW w:type="dxa" w:w="1440"/>
          </w:tcPr>
          <w:p>
            <w:r>
              <w:rPr>
                <w:rFonts w:ascii="Calibri" w:hAnsi="Calibri"/>
                <w:b/>
                <w:color w:val="E5484D"/>
                <w:sz w:val="22"/>
              </w:rPr>
              <w:t>Miss</w:t>
            </w:r>
          </w:p>
        </w:tc>
      </w:tr>
      <w:tr>
        <w:tc>
          <w:tcPr>
            <w:tcW w:type="dxa" w:w="1440"/>
          </w:tcPr>
          <w:p>
            <w:r>
              <w:rPr>
                <w:rFonts w:ascii="Calibri" w:hAnsi="Calibri"/>
                <w:sz w:val="22"/>
              </w:rPr>
              <w:t>Q2 2024</w:t>
            </w:r>
          </w:p>
        </w:tc>
        <w:tc>
          <w:tcPr>
            <w:tcW w:type="dxa" w:w="1440"/>
          </w:tcPr>
          <w:p>
            <w:r>
              <w:rPr>
                <w:rFonts w:ascii="Calibri" w:hAnsi="Calibri"/>
                <w:sz w:val="22"/>
              </w:rPr>
              <w:t>Operating EPS</w:t>
            </w:r>
          </w:p>
        </w:tc>
        <w:tc>
          <w:tcPr>
            <w:tcW w:type="dxa" w:w="1440"/>
          </w:tcPr>
          <w:p>
            <w:r>
              <w:rPr>
                <w:rFonts w:ascii="Calibri" w:hAnsi="Calibri"/>
                <w:sz w:val="22"/>
              </w:rPr>
              <w:t>$2.72</w:t>
            </w:r>
          </w:p>
        </w:tc>
        <w:tc>
          <w:tcPr>
            <w:tcW w:type="dxa" w:w="1440"/>
          </w:tcPr>
          <w:p>
            <w:r>
              <w:rPr>
                <w:rFonts w:ascii="Calibri" w:hAnsi="Calibri"/>
                <w:sz w:val="22"/>
              </w:rPr>
              <w:t>$2.72</w:t>
            </w:r>
          </w:p>
        </w:tc>
        <w:tc>
          <w:tcPr>
            <w:tcW w:type="dxa" w:w="1440"/>
          </w:tcPr>
          <w:p>
            <w:r>
              <w:rPr>
                <w:rFonts w:ascii="Calibri" w:hAnsi="Calibri"/>
                <w:sz w:val="22"/>
              </w:rPr>
              <w:t>0.0%</w:t>
            </w:r>
          </w:p>
        </w:tc>
        <w:tc>
          <w:tcPr>
            <w:tcW w:type="dxa" w:w="1440"/>
          </w:tcPr>
          <w:p>
            <w:r>
              <w:rPr>
                <w:rFonts w:ascii="Calibri" w:hAnsi="Calibri"/>
                <w:sz w:val="22"/>
              </w:rPr>
              <w:t>In-Line</w:t>
            </w:r>
          </w:p>
        </w:tc>
      </w:tr>
      <w:tr>
        <w:tc>
          <w:tcPr>
            <w:tcW w:type="dxa" w:w="1440"/>
          </w:tcPr>
          <w:p>
            <w:r>
              <w:rPr>
                <w:rFonts w:ascii="Calibri" w:hAnsi="Calibri"/>
                <w:sz w:val="22"/>
              </w:rPr>
              <w:t>Q2 2024</w:t>
            </w:r>
          </w:p>
        </w:tc>
        <w:tc>
          <w:tcPr>
            <w:tcW w:type="dxa" w:w="1440"/>
          </w:tcPr>
          <w:p>
            <w:r>
              <w:rPr>
                <w:rFonts w:ascii="Calibri" w:hAnsi="Calibri"/>
                <w:sz w:val="22"/>
              </w:rPr>
              <w:t>Steel EBITDA</w:t>
            </w:r>
          </w:p>
        </w:tc>
        <w:tc>
          <w:tcPr>
            <w:tcW w:type="dxa" w:w="1440"/>
          </w:tcPr>
          <w:p>
            <w:r>
              <w:rPr>
                <w:rFonts w:ascii="Calibri" w:hAnsi="Calibri"/>
                <w:sz w:val="22"/>
              </w:rPr>
              <w:t>$530M</w:t>
            </w:r>
          </w:p>
        </w:tc>
        <w:tc>
          <w:tcPr>
            <w:tcW w:type="dxa" w:w="1440"/>
          </w:tcPr>
          <w:p>
            <w:r>
              <w:rPr>
                <w:rFonts w:ascii="Calibri" w:hAnsi="Calibri"/>
                <w:sz w:val="22"/>
              </w:rPr>
              <w:t>$571M</w:t>
            </w:r>
          </w:p>
        </w:tc>
        <w:tc>
          <w:tcPr>
            <w:tcW w:type="dxa" w:w="1440"/>
          </w:tcPr>
          <w:p>
            <w:r>
              <w:rPr>
                <w:rFonts w:ascii="Calibri" w:hAnsi="Calibri"/>
                <w:sz w:val="22"/>
              </w:rPr>
              <w:t>-7.2%</w:t>
            </w:r>
          </w:p>
        </w:tc>
        <w:tc>
          <w:tcPr>
            <w:tcW w:type="dxa" w:w="1440"/>
          </w:tcPr>
          <w:p>
            <w:r>
              <w:rPr>
                <w:rFonts w:ascii="Calibri" w:hAnsi="Calibri"/>
                <w:b/>
                <w:color w:val="E5484D"/>
                <w:sz w:val="22"/>
              </w:rPr>
              <w:t>Miss</w:t>
            </w:r>
          </w:p>
        </w:tc>
      </w:tr>
    </w:tbl>
    <w:p>
      <w:r>
        <w:rPr>
          <w:rFonts w:ascii="Calibri" w:hAnsi="Calibri"/>
          <w:b/>
          <w:color w:val="525866"/>
          <w:sz w:val="22"/>
        </w:rPr>
        <w:t xml:space="preserve">Pattern: </w:t>
      </w:r>
      <w:r>
        <w:rPr>
          <w:rFonts w:ascii="Calibri" w:hAnsi="Calibri"/>
          <w:color w:val="525866"/>
          <w:sz w:val="22"/>
        </w:rPr>
        <w:t>STLD has beaten or matched Operating EPS consensus in 6 of the last 8 quarters, with the two misses concentrated in the weak pricing environment of H1 2025. Steel EBITDA has been more mixed (4 beats, 4 misses), with misses typically occurring when scrap costs surprised to the upside or pricing disappointed. The current setup — with a pre-announced EPS range anchoring consensus — reduces the risk of a large negative surprise on EPS, shifting focus to aluminum execution and fabrication margins.</w:t>
      </w:r>
    </w:p>
    <w:p>
      <w:r>
        <w:rPr>
          <w:rFonts w:ascii="Calibri" w:hAnsi="Calibri"/>
          <w:i/>
          <w:color w:val="525866"/>
          <w:sz w:val="22"/>
        </w:rPr>
        <w:t>Source: Visible Alpha Consensus and Actuals Data.</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color w:val="525866"/>
          <w:sz w:val="22"/>
        </w:rPr>
        <w:t>Guidance has been revised once since the Q1 print — the June 17 pre-announcement introduced a $16M write-down headwind from the Arizona-to-Mississippi slab center relocation, but the underlying operational tone (steel margins, aluminum ramp, fabrication backlog) remains constructive and unchanged from April.</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(Q1 2026 Earnings Call — April 21, 2026)</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Q2 2026 EPS (Diluted Operating)</w:t>
            </w:r>
          </w:p>
        </w:tc>
        <w:tc>
          <w:tcPr>
            <w:tcW w:type="dxa" w:w="1728"/>
          </w:tcPr>
          <w:p>
            <w:r>
              <w:rPr>
                <w:rFonts w:ascii="Calibri" w:hAnsi="Calibri"/>
                <w:sz w:val="22"/>
              </w:rPr>
              <w:t>Not formally guided (directional: higher than Q1 $2.78)</w:t>
            </w:r>
          </w:p>
        </w:tc>
        <w:tc>
          <w:tcPr>
            <w:tcW w:type="dxa" w:w="1728"/>
          </w:tcPr>
          <w:p>
            <w:r>
              <w:rPr>
                <w:rFonts w:ascii="Calibri" w:hAnsi="Calibri"/>
                <w:sz w:val="22"/>
              </w:rPr>
              <w:t>$3.51–$3.55</w:t>
            </w:r>
          </w:p>
        </w:tc>
        <w:tc>
          <w:tcPr>
            <w:tcW w:type="dxa" w:w="1728"/>
          </w:tcPr>
          <w:p>
            <w:r>
              <w:rPr>
                <w:rFonts w:ascii="Calibri" w:hAnsi="Calibri"/>
                <w:sz w:val="22"/>
              </w:rPr>
              <w:t>$3.64</w:t>
            </w:r>
          </w:p>
        </w:tc>
        <w:tc>
          <w:tcPr>
            <w:tcW w:type="dxa" w:w="1728"/>
          </w:tcPr>
          <w:p>
            <w:r>
              <w:rPr>
                <w:rFonts w:ascii="Calibri" w:hAnsi="Calibri"/>
                <w:sz w:val="22"/>
              </w:rPr>
              <w:t>↓ Revised via 8-K June 17, 2026; includes $16M write-down from Arizona slab center relocation to Columbus, MS. Consensus sits ~2.5% above midpoint.</w:t>
            </w:r>
          </w:p>
        </w:tc>
      </w:tr>
      <w:tr>
        <w:tc>
          <w:tcPr>
            <w:tcW w:type="dxa" w:w="1728"/>
          </w:tcPr>
          <w:p>
            <w:r>
              <w:rPr>
                <w:rFonts w:ascii="Calibri" w:hAnsi="Calibri"/>
                <w:sz w:val="22"/>
              </w:rPr>
              <w:t>Steel Operations Profitability (Q2)</w:t>
            </w:r>
          </w:p>
        </w:tc>
        <w:tc>
          <w:tcPr>
            <w:tcW w:type="dxa" w:w="1728"/>
          </w:tcPr>
          <w:p>
            <w:r>
              <w:rPr>
                <w:rFonts w:ascii="Calibri" w:hAnsi="Calibri"/>
                <w:sz w:val="22"/>
              </w:rPr>
              <w:t>Meaningfully higher than Q1 ($557M op. income); metal margin expansion; strong demand</w:t>
            </w:r>
          </w:p>
        </w:tc>
        <w:tc>
          <w:tcPr>
            <w:tcW w:type="dxa" w:w="1728"/>
          </w:tcPr>
          <w:p>
            <w:r>
              <w:rPr>
                <w:rFonts w:ascii="Calibri" w:hAnsi="Calibri"/>
                <w:sz w:val="22"/>
              </w:rPr>
              <w:t>Unchanged — confirmed in June 17 pre-announcement</w:t>
            </w:r>
          </w:p>
        </w:tc>
        <w:tc>
          <w:tcPr>
            <w:tcW w:type="dxa" w:w="1728"/>
          </w:tcPr>
          <w:p>
            <w:r>
              <w:rPr>
                <w:rFonts w:ascii="Calibri" w:hAnsi="Calibri"/>
                <w:sz w:val="22"/>
              </w:rPr>
              <w:t>$817M EBITDA</w:t>
            </w:r>
          </w:p>
        </w:tc>
        <w:tc>
          <w:tcPr>
            <w:tcW w:type="dxa" w:w="1728"/>
          </w:tcPr>
          <w:p>
            <w:r>
              <w:rPr>
                <w:rFonts w:ascii="Calibri" w:hAnsi="Calibri"/>
                <w:sz w:val="22"/>
              </w:rPr>
              <w:t>Tone unchanged. Non-residential construction, energy, automotive, and industrial demand described as solid. Order activity robust; inventories low.</w:t>
            </w:r>
          </w:p>
        </w:tc>
      </w:tr>
      <w:tr>
        <w:tc>
          <w:tcPr>
            <w:tcW w:type="dxa" w:w="1728"/>
          </w:tcPr>
          <w:p>
            <w:r>
              <w:rPr>
                <w:rFonts w:ascii="Calibri" w:hAnsi="Calibri"/>
                <w:sz w:val="22"/>
              </w:rPr>
              <w:t>Aluminum Shipments (Q2)</w:t>
            </w:r>
          </w:p>
        </w:tc>
        <w:tc>
          <w:tcPr>
            <w:tcW w:type="dxa" w:w="1728"/>
          </w:tcPr>
          <w:p>
            <w:r>
              <w:rPr>
                <w:rFonts w:ascii="Calibri" w:hAnsi="Calibri"/>
                <w:sz w:val="22"/>
              </w:rPr>
              <w:t>~60,000–70,000 metric tons (vs. 22,500 in Q1)</w:t>
            </w:r>
          </w:p>
        </w:tc>
        <w:tc>
          <w:tcPr>
            <w:tcW w:type="dxa" w:w="1728"/>
          </w:tcPr>
          <w:p>
            <w:r>
              <w:rPr>
                <w:rFonts w:ascii="Calibri" w:hAnsi="Calibri"/>
                <w:sz w:val="22"/>
              </w:rPr>
              <w:t>Confirmed in June 17 pre-announcement; 2 of 3 cold mills operational; 3rd qualifying in July; 1st CASH line shipping for customer qualification</w:t>
            </w:r>
          </w:p>
        </w:tc>
        <w:tc>
          <w:tcPr>
            <w:tcW w:type="dxa" w:w="1728"/>
          </w:tcPr>
          <w:p>
            <w:r>
              <w:rPr>
                <w:rFonts w:ascii="Calibri" w:hAnsi="Calibri"/>
                <w:sz w:val="22"/>
              </w:rPr>
              <w:t>67,117 KT</w:t>
            </w:r>
          </w:p>
        </w:tc>
        <w:tc>
          <w:tcPr>
            <w:tcW w:type="dxa" w:w="1728"/>
          </w:tcPr>
          <w:p>
            <w:r>
              <w:rPr>
                <w:rFonts w:ascii="Calibri" w:hAnsi="Calibri"/>
                <w:sz w:val="22"/>
              </w:rPr>
              <w:t>↑ Operational progress confirmed. 2nd CASH line expected to begin qualifications in Q4 2026. Consensus at top of guided range.</w:t>
            </w:r>
          </w:p>
        </w:tc>
      </w:tr>
      <w:tr>
        <w:tc>
          <w:tcPr>
            <w:tcW w:type="dxa" w:w="1728"/>
          </w:tcPr>
          <w:p>
            <w:r>
              <w:rPr>
                <w:rFonts w:ascii="Calibri" w:hAnsi="Calibri"/>
                <w:sz w:val="22"/>
              </w:rPr>
              <w:t>Aluminum EBITDA (Q2)</w:t>
            </w:r>
          </w:p>
        </w:tc>
        <w:tc>
          <w:tcPr>
            <w:tcW w:type="dxa" w:w="1728"/>
          </w:tcPr>
          <w:p>
            <w:r>
              <w:rPr>
                <w:rFonts w:ascii="Calibri" w:hAnsi="Calibri"/>
                <w:sz w:val="22"/>
              </w:rPr>
              <w:t>Significantly improved vs. Q1 (-$45M); expected EBITDA positive for remainder of year</w:t>
            </w:r>
          </w:p>
        </w:tc>
        <w:tc>
          <w:tcPr>
            <w:tcW w:type="dxa" w:w="1728"/>
          </w:tcPr>
          <w:p>
            <w:r>
              <w:rPr>
                <w:rFonts w:ascii="Calibri" w:hAnsi="Calibri"/>
                <w:sz w:val="22"/>
              </w:rPr>
              <w:t>Confirmed in June 17 pre-announcement</w:t>
            </w:r>
          </w:p>
        </w:tc>
        <w:tc>
          <w:tcPr>
            <w:tcW w:type="dxa" w:w="1728"/>
          </w:tcPr>
          <w:p>
            <w:r>
              <w:rPr>
                <w:rFonts w:ascii="Calibri" w:hAnsi="Calibri"/>
                <w:sz w:val="22"/>
              </w:rPr>
              <w:t>$7M</w:t>
            </w:r>
          </w:p>
        </w:tc>
        <w:tc>
          <w:tcPr>
            <w:tcW w:type="dxa" w:w="1728"/>
          </w:tcPr>
          <w:p>
            <w:r>
              <w:rPr>
                <w:rFonts w:ascii="Calibri" w:hAnsi="Calibri"/>
                <w:sz w:val="22"/>
              </w:rPr>
              <w:t>Consensus appears conservative relative to management’s ‘significantly improved’ language. Key upside risk.</w:t>
            </w:r>
          </w:p>
        </w:tc>
      </w:tr>
      <w:tr>
        <w:tc>
          <w:tcPr>
            <w:tcW w:type="dxa" w:w="1728"/>
          </w:tcPr>
          <w:p>
            <w:r>
              <w:rPr>
                <w:rFonts w:ascii="Calibri" w:hAnsi="Calibri"/>
                <w:sz w:val="22"/>
              </w:rPr>
              <w:t>Steel Fabrication (Q2)</w:t>
            </w:r>
          </w:p>
        </w:tc>
        <w:tc>
          <w:tcPr>
            <w:tcW w:type="dxa" w:w="1728"/>
          </w:tcPr>
          <w:p>
            <w:r>
              <w:rPr>
                <w:rFonts w:ascii="Calibri" w:hAnsi="Calibri"/>
                <w:sz w:val="22"/>
              </w:rPr>
              <w:t>Incrementally below Q1 ($90M op. income); higher shipments offset by higher steel input costs; backlog 38%+ above year-ago</w:t>
            </w:r>
          </w:p>
        </w:tc>
        <w:tc>
          <w:tcPr>
            <w:tcW w:type="dxa" w:w="1728"/>
          </w:tcPr>
          <w:p>
            <w:r>
              <w:rPr>
                <w:rFonts w:ascii="Calibri" w:hAnsi="Calibri"/>
                <w:sz w:val="22"/>
              </w:rPr>
              <w:t>Confirmed in June 17 pre-announcement; backlog now ~40% above year-ago, extending through end of 2026 and into 2027</w:t>
            </w:r>
          </w:p>
        </w:tc>
        <w:tc>
          <w:tcPr>
            <w:tcW w:type="dxa" w:w="1728"/>
          </w:tcPr>
          <w:p>
            <w:r>
              <w:rPr>
                <w:rFonts w:ascii="Calibri" w:hAnsi="Calibri"/>
                <w:sz w:val="22"/>
              </w:rPr>
              <w:t>N/A — not separately modeled in VA</w:t>
            </w:r>
          </w:p>
        </w:tc>
        <w:tc>
          <w:tcPr>
            <w:tcW w:type="dxa" w:w="1728"/>
          </w:tcPr>
          <w:p>
            <w:r>
              <w:rPr>
                <w:rFonts w:ascii="Calibri" w:hAnsi="Calibri"/>
                <w:sz w:val="22"/>
              </w:rPr>
              <w:t>Backlog upgrade (38% → 40% above year-ago) is a modest positive signal. Data center, warehouse, manufacturing, healthcare driving demand.</w:t>
            </w:r>
          </w:p>
        </w:tc>
      </w:tr>
      <w:tr>
        <w:tc>
          <w:tcPr>
            <w:tcW w:type="dxa" w:w="1728"/>
          </w:tcPr>
          <w:p>
            <w:r>
              <w:rPr>
                <w:rFonts w:ascii="Calibri" w:hAnsi="Calibri"/>
                <w:sz w:val="22"/>
              </w:rPr>
              <w:t>Metals Recycling (Q2)</w:t>
            </w:r>
          </w:p>
        </w:tc>
        <w:tc>
          <w:tcPr>
            <w:tcW w:type="dxa" w:w="1728"/>
          </w:tcPr>
          <w:p>
            <w:r>
              <w:rPr>
                <w:rFonts w:ascii="Calibri" w:hAnsi="Calibri"/>
                <w:sz w:val="22"/>
              </w:rPr>
              <w:t>Similar to Q1 ($47M op. income); higher ferrous/non-ferrous shipments offset by nonferrous unrealized hedging losses</w:t>
            </w:r>
          </w:p>
        </w:tc>
        <w:tc>
          <w:tcPr>
            <w:tcW w:type="dxa" w:w="1728"/>
          </w:tcPr>
          <w:p>
            <w:r>
              <w:rPr>
                <w:rFonts w:ascii="Calibri" w:hAnsi="Calibri"/>
                <w:sz w:val="22"/>
              </w:rPr>
              <w:t>Confirmed in June 17 pre-announcement</w:t>
            </w:r>
          </w:p>
        </w:tc>
        <w:tc>
          <w:tcPr>
            <w:tcW w:type="dxa" w:w="1728"/>
          </w:tcPr>
          <w:p>
            <w:r>
              <w:rPr>
                <w:rFonts w:ascii="Calibri" w:hAnsi="Calibri"/>
                <w:sz w:val="22"/>
              </w:rPr>
              <w:t>N/A — not separately modeled in VA</w:t>
            </w:r>
          </w:p>
        </w:tc>
        <w:tc>
          <w:tcPr>
            <w:tcW w:type="dxa" w:w="1728"/>
          </w:tcPr>
          <w:p>
            <w:r>
              <w:rPr>
                <w:rFonts w:ascii="Calibri" w:hAnsi="Calibri"/>
                <w:sz w:val="22"/>
              </w:rPr>
              <w:t>Unchanged from initial guidance. Hedging losses are a known offset.</w:t>
            </w:r>
          </w:p>
        </w:tc>
      </w:tr>
      <w:tr>
        <w:tc>
          <w:tcPr>
            <w:tcW w:type="dxa" w:w="1728"/>
          </w:tcPr>
          <w:p>
            <w:r>
              <w:rPr>
                <w:rFonts w:ascii="Calibri" w:hAnsi="Calibri"/>
                <w:sz w:val="22"/>
              </w:rPr>
              <w:t>FY 2026 Capex</w:t>
            </w:r>
          </w:p>
        </w:tc>
        <w:tc>
          <w:tcPr>
            <w:tcW w:type="dxa" w:w="1728"/>
          </w:tcPr>
          <w:p>
            <w:r>
              <w:rPr>
                <w:rFonts w:ascii="Calibri" w:hAnsi="Calibri"/>
                <w:sz w:val="22"/>
              </w:rPr>
              <w:t>~$600M total</w:t>
            </w:r>
          </w:p>
        </w:tc>
        <w:tc>
          <w:tcPr>
            <w:tcW w:type="dxa" w:w="1728"/>
          </w:tcPr>
          <w:p>
            <w:r>
              <w:rPr>
                <w:rFonts w:ascii="Calibri" w:hAnsi="Calibri"/>
                <w:sz w:val="22"/>
              </w:rPr>
              <w:t>Unchanged</w:t>
            </w:r>
          </w:p>
        </w:tc>
        <w:tc>
          <w:tcPr>
            <w:tcW w:type="dxa" w:w="1728"/>
          </w:tcPr>
          <w:p>
            <w:r>
              <w:rPr>
                <w:rFonts w:ascii="Calibri" w:hAnsi="Calibri"/>
                <w:sz w:val="22"/>
              </w:rPr>
              <w:t>$598M</w:t>
            </w:r>
          </w:p>
        </w:tc>
        <w:tc>
          <w:tcPr>
            <w:tcW w:type="dxa" w:w="1728"/>
          </w:tcPr>
          <w:p>
            <w:r>
              <w:rPr>
                <w:rFonts w:ascii="Calibri" w:hAnsi="Calibri"/>
                <w:sz w:val="22"/>
              </w:rPr>
              <w:t>Consensus in line with guidance. CapEx declining as major growth projects complete.</w:t>
            </w:r>
          </w:p>
        </w:tc>
      </w:tr>
      <w:tr>
        <w:tc>
          <w:tcPr>
            <w:tcW w:type="dxa" w:w="1728"/>
          </w:tcPr>
          <w:p>
            <w:r>
              <w:rPr>
                <w:rFonts w:ascii="Calibri" w:hAnsi="Calibri"/>
                <w:sz w:val="22"/>
              </w:rPr>
              <w:t>Share Repurchases (Q2 to date)</w:t>
            </w:r>
          </w:p>
        </w:tc>
        <w:tc>
          <w:tcPr>
            <w:tcW w:type="dxa" w:w="1728"/>
          </w:tcPr>
          <w:p>
            <w:r>
              <w:rPr>
                <w:rFonts w:ascii="Calibri" w:hAnsi="Calibri"/>
                <w:sz w:val="22"/>
              </w:rPr>
              <w:t>Not guided</w:t>
            </w:r>
          </w:p>
        </w:tc>
        <w:tc>
          <w:tcPr>
            <w:tcW w:type="dxa" w:w="1728"/>
          </w:tcPr>
          <w:p>
            <w:r>
              <w:rPr>
                <w:rFonts w:ascii="Calibri" w:hAnsi="Calibri"/>
                <w:sz w:val="22"/>
              </w:rPr>
              <w:t>$170M repurchased (~0.5% of shares) as of June 17, 2026</w:t>
            </w:r>
          </w:p>
        </w:tc>
        <w:tc>
          <w:tcPr>
            <w:tcW w:type="dxa" w:w="1728"/>
          </w:tcPr>
          <w:p>
            <w:r>
              <w:rPr>
                <w:rFonts w:ascii="Calibri" w:hAnsi="Calibri"/>
                <w:sz w:val="22"/>
              </w:rPr>
              <w:t>N/A</w:t>
            </w:r>
          </w:p>
        </w:tc>
        <w:tc>
          <w:tcPr>
            <w:tcW w:type="dxa" w:w="1728"/>
          </w:tcPr>
          <w:p>
            <w:r>
              <w:rPr>
                <w:rFonts w:ascii="Calibri" w:hAnsi="Calibri"/>
                <w:sz w:val="22"/>
              </w:rPr>
              <w:t>Disclosed in June 17 pre-announcement. Signals continued capital return confidence.</w:t>
            </w:r>
          </w:p>
        </w:tc>
      </w:tr>
    </w:tbl>
    <w:p>
      <w:r>
        <w:rPr>
          <w:rFonts w:ascii="Calibri" w:hAnsi="Calibri"/>
          <w:i/>
          <w:color w:val="525866"/>
          <w:sz w:val="22"/>
        </w:rPr>
        <w:t>Source: STLD Q1 2026 Earnings Call Transcript (April 21, 2026); STLD Q2 2026 Earnings Guidance 8-K EX-99.1 (June 17, 2026); Visible Alpha Consensus and Actuals Data.</w:t>
      </w:r>
    </w:p>
    <w:p>
      <w:r>
        <w:br w:type="page"/>
      </w:r>
    </w:p>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 xml:space="preserve">EPS estimates for Q2 have been revised sharply </w:t>
      </w:r>
      <w:r>
        <w:rPr>
          <w:rFonts w:ascii="Calibri" w:hAnsi="Calibri"/>
          <w:b/>
          <w:color w:val="525866"/>
          <w:sz w:val="22"/>
        </w:rPr>
        <w:t>down</w:t>
      </w:r>
      <w:r>
        <w:rPr>
          <w:rFonts w:ascii="Calibri" w:hAnsi="Calibri"/>
          <w:color w:val="525866"/>
          <w:sz w:val="22"/>
        </w:rPr>
        <w:t xml:space="preserve"> (-10.5%) since the Q1 print, almost entirely driven by the June 17 write-down pre-announcement. FY2026 estimates have moved </w:t>
      </w:r>
      <w:r>
        <w:rPr>
          <w:rFonts w:ascii="Calibri" w:hAnsi="Calibri"/>
          <w:b/>
          <w:color w:val="525866"/>
          <w:sz w:val="22"/>
        </w:rPr>
        <w:t>up</w:t>
      </w:r>
      <w:r>
        <w:rPr>
          <w:rFonts w:ascii="Calibri" w:hAnsi="Calibri"/>
          <w:color w:val="525866"/>
          <w:sz w:val="22"/>
        </w:rPr>
        <w:t xml:space="preserve"> (+9.5%), reflecting the improving steel pricing and aluminum ramp trajectory. The gap between current consensus and the pre-announcement guidance midpoint on EPS is narrow (~2.5%), suggesting limited room for a large positive EPS surprise — but aluminum EBITDA and FY guidance tone are the real revision catalysts to watch.</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(Period)</w:t>
            </w:r>
          </w:p>
        </w:tc>
        <w:tc>
          <w:tcPr>
            <w:tcW w:type="dxa" w:w="1080"/>
            <w:shd w:val="clear" w:color="auto" w:fill="3B4259"/>
          </w:tcPr>
          <w:p>
            <w:r>
              <w:rPr>
                <w:rFonts w:ascii="Calibri" w:hAnsi="Calibri"/>
                <w:b/>
                <w:color w:val="FFFFFF"/>
                <w:sz w:val="22"/>
              </w:rPr>
              <w:t>Estimate ~5 Days Post Q1 Print (as of Apr 28, 2026)</w:t>
            </w:r>
          </w:p>
        </w:tc>
        <w:tc>
          <w:tcPr>
            <w:tcW w:type="dxa" w:w="1080"/>
            <w:shd w:val="clear" w:color="auto" w:fill="3B4259"/>
          </w:tcPr>
          <w:p>
            <w:r>
              <w:rPr>
                <w:rFonts w:ascii="Calibri" w:hAnsi="Calibri"/>
                <w:b/>
                <w:color w:val="FFFFFF"/>
                <w:sz w:val="22"/>
              </w:rPr>
              <w:t>Current Consensus (Jul 19, 2026)</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(Q1 Call, Apr 21)</w:t>
            </w:r>
          </w:p>
        </w:tc>
        <w:tc>
          <w:tcPr>
            <w:tcW w:type="dxa" w:w="1080"/>
            <w:shd w:val="clear" w:color="auto" w:fill="3B4259"/>
          </w:tcPr>
          <w:p>
            <w:r>
              <w:rPr>
                <w:rFonts w:ascii="Calibri" w:hAnsi="Calibri"/>
                <w:b/>
                <w:color w:val="FFFFFF"/>
                <w:sz w:val="22"/>
              </w:rPr>
              <w:t>Current Guidance (Jun 17 Pre-Ann.)</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Current Guidance</w:t>
            </w:r>
          </w:p>
        </w:tc>
      </w:tr>
      <w:tr>
        <w:tc>
          <w:tcPr>
            <w:tcW w:type="dxa" w:w="1080"/>
          </w:tcPr>
          <w:p>
            <w:r>
              <w:rPr>
                <w:rFonts w:ascii="Calibri" w:hAnsi="Calibri"/>
                <w:sz w:val="22"/>
              </w:rPr>
              <w:t>Operating EPS — Q2 2026</w:t>
            </w:r>
          </w:p>
        </w:tc>
        <w:tc>
          <w:tcPr>
            <w:tcW w:type="dxa" w:w="1080"/>
          </w:tcPr>
          <w:p>
            <w:r>
              <w:rPr>
                <w:rFonts w:ascii="Calibri" w:hAnsi="Calibri"/>
                <w:sz w:val="22"/>
              </w:rPr>
              <w:t>$4.06</w:t>
            </w:r>
          </w:p>
        </w:tc>
        <w:tc>
          <w:tcPr>
            <w:tcW w:type="dxa" w:w="1080"/>
          </w:tcPr>
          <w:p>
            <w:r>
              <w:rPr>
                <w:rFonts w:ascii="Calibri" w:hAnsi="Calibri"/>
                <w:sz w:val="22"/>
              </w:rPr>
              <w:t>$3.64</w:t>
            </w:r>
          </w:p>
        </w:tc>
        <w:tc>
          <w:tcPr>
            <w:tcW w:type="dxa" w:w="1080"/>
          </w:tcPr>
          <w:p>
            <w:r>
              <w:rPr>
                <w:rFonts w:ascii="Calibri" w:hAnsi="Calibri"/>
                <w:b/>
                <w:color w:val="E5484D"/>
                <w:sz w:val="22"/>
              </w:rPr>
              <w:t>-10.5%</w:t>
            </w:r>
          </w:p>
        </w:tc>
        <w:tc>
          <w:tcPr>
            <w:tcW w:type="dxa" w:w="1080"/>
          </w:tcPr>
          <w:p>
            <w:r>
              <w:rPr>
                <w:rFonts w:ascii="Calibri" w:hAnsi="Calibri"/>
                <w:sz w:val="22"/>
              </w:rPr>
              <w:t>Directional (higher than Q1)</w:t>
            </w:r>
          </w:p>
        </w:tc>
        <w:tc>
          <w:tcPr>
            <w:tcW w:type="dxa" w:w="1080"/>
          </w:tcPr>
          <w:p>
            <w:r>
              <w:rPr>
                <w:rFonts w:ascii="Calibri" w:hAnsi="Calibri"/>
                <w:sz w:val="22"/>
              </w:rPr>
              <w:t>$3.51–$3.55</w:t>
            </w:r>
          </w:p>
        </w:tc>
        <w:tc>
          <w:tcPr>
            <w:tcW w:type="dxa" w:w="1080"/>
          </w:tcPr>
          <w:p>
            <w:r>
              <w:rPr>
                <w:rFonts w:ascii="Calibri" w:hAnsi="Calibri"/>
                <w:sz w:val="22"/>
              </w:rPr>
              <w:t>↓ Lowered (write-down)</w:t>
            </w:r>
          </w:p>
        </w:tc>
        <w:tc>
          <w:tcPr>
            <w:tcW w:type="dxa" w:w="1080"/>
          </w:tcPr>
          <w:p>
            <w:r>
              <w:rPr>
                <w:rFonts w:ascii="Calibri" w:hAnsi="Calibri"/>
                <w:sz w:val="22"/>
              </w:rPr>
              <w:t>+2.5% above midpoint</w:t>
            </w:r>
          </w:p>
        </w:tc>
      </w:tr>
      <w:tr>
        <w:tc>
          <w:tcPr>
            <w:tcW w:type="dxa" w:w="1080"/>
          </w:tcPr>
          <w:p>
            <w:r>
              <w:rPr>
                <w:rFonts w:ascii="Calibri" w:hAnsi="Calibri"/>
                <w:sz w:val="22"/>
              </w:rPr>
              <w:t>Operating EPS — FY2026</w:t>
            </w:r>
          </w:p>
        </w:tc>
        <w:tc>
          <w:tcPr>
            <w:tcW w:type="dxa" w:w="1080"/>
          </w:tcPr>
          <w:p>
            <w:r>
              <w:rPr>
                <w:rFonts w:ascii="Calibri" w:hAnsi="Calibri"/>
                <w:sz w:val="22"/>
              </w:rPr>
              <w:t>$15.05</w:t>
            </w:r>
          </w:p>
        </w:tc>
        <w:tc>
          <w:tcPr>
            <w:tcW w:type="dxa" w:w="1080"/>
          </w:tcPr>
          <w:p>
            <w:r>
              <w:rPr>
                <w:rFonts w:ascii="Calibri" w:hAnsi="Calibri"/>
                <w:sz w:val="22"/>
              </w:rPr>
              <w:t>$16.48</w:t>
            </w:r>
          </w:p>
        </w:tc>
        <w:tc>
          <w:tcPr>
            <w:tcW w:type="dxa" w:w="1080"/>
          </w:tcPr>
          <w:p>
            <w:r>
              <w:rPr>
                <w:rFonts w:ascii="Calibri" w:hAnsi="Calibri"/>
                <w:b/>
                <w:color w:val="30A46C"/>
                <w:sz w:val="22"/>
              </w:rPr>
              <w:t>+9.5%</w:t>
            </w:r>
          </w:p>
        </w:tc>
        <w:tc>
          <w:tcPr>
            <w:tcW w:type="dxa" w:w="1080"/>
          </w:tcPr>
          <w:p>
            <w:r>
              <w:rPr>
                <w:rFonts w:ascii="Calibri" w:hAnsi="Calibri"/>
                <w:sz w:val="22"/>
              </w:rPr>
              <w:t>Not provided</w:t>
            </w:r>
          </w:p>
        </w:tc>
        <w:tc>
          <w:tcPr>
            <w:tcW w:type="dxa" w:w="1080"/>
          </w:tcPr>
          <w:p>
            <w:r>
              <w:rPr>
                <w:rFonts w:ascii="Calibri" w:hAnsi="Calibri"/>
                <w:sz w:val="22"/>
              </w:rPr>
              <w:t>Not provided</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EBITDA — Q2 2026</w:t>
            </w:r>
          </w:p>
        </w:tc>
        <w:tc>
          <w:tcPr>
            <w:tcW w:type="dxa" w:w="1080"/>
          </w:tcPr>
          <w:p>
            <w:r>
              <w:rPr>
                <w:rFonts w:ascii="Calibri" w:hAnsi="Calibri"/>
                <w:sz w:val="22"/>
              </w:rPr>
              <w:t>$941M</w:t>
            </w:r>
          </w:p>
        </w:tc>
        <w:tc>
          <w:tcPr>
            <w:tcW w:type="dxa" w:w="1080"/>
          </w:tcPr>
          <w:p>
            <w:r>
              <w:rPr>
                <w:rFonts w:ascii="Calibri" w:hAnsi="Calibri"/>
                <w:sz w:val="22"/>
              </w:rPr>
              <w:t>$875M</w:t>
            </w:r>
          </w:p>
        </w:tc>
        <w:tc>
          <w:tcPr>
            <w:tcW w:type="dxa" w:w="1080"/>
          </w:tcPr>
          <w:p>
            <w:r>
              <w:rPr>
                <w:rFonts w:ascii="Calibri" w:hAnsi="Calibri"/>
                <w:b/>
                <w:color w:val="E5484D"/>
                <w:sz w:val="22"/>
              </w:rPr>
              <w:t>-7.0%</w:t>
            </w:r>
          </w:p>
        </w:tc>
        <w:tc>
          <w:tcPr>
            <w:tcW w:type="dxa" w:w="1080"/>
          </w:tcPr>
          <w:p>
            <w:r>
              <w:rPr>
                <w:rFonts w:ascii="Calibri" w:hAnsi="Calibri"/>
                <w:sz w:val="22"/>
              </w:rPr>
              <w:t>Directional (higher)</w:t>
            </w:r>
          </w:p>
        </w:tc>
        <w:tc>
          <w:tcPr>
            <w:tcW w:type="dxa" w:w="1080"/>
          </w:tcPr>
          <w:p>
            <w:r>
              <w:rPr>
                <w:rFonts w:ascii="Calibri" w:hAnsi="Calibri"/>
                <w:sz w:val="22"/>
              </w:rPr>
              <w:t>Not provided</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EBITDA — FY2026</w:t>
            </w:r>
          </w:p>
        </w:tc>
        <w:tc>
          <w:tcPr>
            <w:tcW w:type="dxa" w:w="1080"/>
          </w:tcPr>
          <w:p>
            <w:r>
              <w:rPr>
                <w:rFonts w:ascii="Calibri" w:hAnsi="Calibri"/>
                <w:sz w:val="22"/>
              </w:rPr>
              <w:t>$3,524M</w:t>
            </w:r>
          </w:p>
        </w:tc>
        <w:tc>
          <w:tcPr>
            <w:tcW w:type="dxa" w:w="1080"/>
          </w:tcPr>
          <w:p>
            <w:r>
              <w:rPr>
                <w:rFonts w:ascii="Calibri" w:hAnsi="Calibri"/>
                <w:sz w:val="22"/>
              </w:rPr>
              <w:t>$3,828M</w:t>
            </w:r>
          </w:p>
        </w:tc>
        <w:tc>
          <w:tcPr>
            <w:tcW w:type="dxa" w:w="1080"/>
          </w:tcPr>
          <w:p>
            <w:r>
              <w:rPr>
                <w:rFonts w:ascii="Calibri" w:hAnsi="Calibri"/>
                <w:b/>
                <w:color w:val="30A46C"/>
                <w:sz w:val="22"/>
              </w:rPr>
              <w:t>+8.6%</w:t>
            </w:r>
          </w:p>
        </w:tc>
        <w:tc>
          <w:tcPr>
            <w:tcW w:type="dxa" w:w="1080"/>
          </w:tcPr>
          <w:p>
            <w:r>
              <w:rPr>
                <w:rFonts w:ascii="Calibri" w:hAnsi="Calibri"/>
                <w:sz w:val="22"/>
              </w:rPr>
              <w:t>Not provided</w:t>
            </w:r>
          </w:p>
        </w:tc>
        <w:tc>
          <w:tcPr>
            <w:tcW w:type="dxa" w:w="1080"/>
          </w:tcPr>
          <w:p>
            <w:r>
              <w:rPr>
                <w:rFonts w:ascii="Calibri" w:hAnsi="Calibri"/>
                <w:sz w:val="22"/>
              </w:rPr>
              <w:t>Not provided</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Steel EBITDA — Q2 2026</w:t>
            </w:r>
          </w:p>
        </w:tc>
        <w:tc>
          <w:tcPr>
            <w:tcW w:type="dxa" w:w="1080"/>
          </w:tcPr>
          <w:p>
            <w:r>
              <w:rPr>
                <w:rFonts w:ascii="Calibri" w:hAnsi="Calibri"/>
                <w:sz w:val="22"/>
              </w:rPr>
              <w:t>$837M</w:t>
            </w:r>
          </w:p>
        </w:tc>
        <w:tc>
          <w:tcPr>
            <w:tcW w:type="dxa" w:w="1080"/>
          </w:tcPr>
          <w:p>
            <w:r>
              <w:rPr>
                <w:rFonts w:ascii="Calibri" w:hAnsi="Calibri"/>
                <w:sz w:val="22"/>
              </w:rPr>
              <w:t>$817M</w:t>
            </w:r>
          </w:p>
        </w:tc>
        <w:tc>
          <w:tcPr>
            <w:tcW w:type="dxa" w:w="1080"/>
          </w:tcPr>
          <w:p>
            <w:r>
              <w:rPr>
                <w:rFonts w:ascii="Calibri" w:hAnsi="Calibri"/>
                <w:sz w:val="22"/>
              </w:rPr>
              <w:t>-2.4%</w:t>
            </w:r>
          </w:p>
        </w:tc>
        <w:tc>
          <w:tcPr>
            <w:tcW w:type="dxa" w:w="1080"/>
          </w:tcPr>
          <w:p>
            <w:r>
              <w:rPr>
                <w:rFonts w:ascii="Calibri" w:hAnsi="Calibri"/>
                <w:sz w:val="22"/>
              </w:rPr>
              <w:t>Meaningfully higher seq.</w:t>
            </w:r>
          </w:p>
        </w:tc>
        <w:tc>
          <w:tcPr>
            <w:tcW w:type="dxa" w:w="1080"/>
          </w:tcPr>
          <w:p>
            <w:r>
              <w:rPr>
                <w:rFonts w:ascii="Calibri" w:hAnsi="Calibri"/>
                <w:sz w:val="22"/>
              </w:rPr>
              <w:t>Confirmed</w:t>
            </w:r>
          </w:p>
        </w:tc>
        <w:tc>
          <w:tcPr>
            <w:tcW w:type="dxa" w:w="1080"/>
          </w:tcPr>
          <w:p>
            <w:r>
              <w:rPr>
                <w:rFonts w:ascii="Calibri" w:hAnsi="Calibri"/>
                <w:sz w:val="22"/>
              </w:rPr>
              <w:t>Unchanged</w:t>
            </w:r>
          </w:p>
        </w:tc>
        <w:tc>
          <w:tcPr>
            <w:tcW w:type="dxa" w:w="1080"/>
          </w:tcPr>
          <w:p>
            <w:r>
              <w:rPr>
                <w:rFonts w:ascii="Calibri" w:hAnsi="Calibri"/>
                <w:sz w:val="22"/>
              </w:rPr>
              <w:t>N/A (directional)</w:t>
            </w:r>
          </w:p>
        </w:tc>
      </w:tr>
      <w:tr>
        <w:tc>
          <w:tcPr>
            <w:tcW w:type="dxa" w:w="1080"/>
          </w:tcPr>
          <w:p>
            <w:r>
              <w:rPr>
                <w:rFonts w:ascii="Calibri" w:hAnsi="Calibri"/>
                <w:sz w:val="22"/>
              </w:rPr>
              <w:t>Aluminum EBITDA — Q2 2026</w:t>
            </w:r>
          </w:p>
        </w:tc>
        <w:tc>
          <w:tcPr>
            <w:tcW w:type="dxa" w:w="1080"/>
          </w:tcPr>
          <w:p>
            <w:r>
              <w:rPr>
                <w:rFonts w:ascii="Calibri" w:hAnsi="Calibri"/>
                <w:sz w:val="22"/>
              </w:rPr>
              <w:t>$26M</w:t>
            </w:r>
          </w:p>
        </w:tc>
        <w:tc>
          <w:tcPr>
            <w:tcW w:type="dxa" w:w="1080"/>
          </w:tcPr>
          <w:p>
            <w:r>
              <w:rPr>
                <w:rFonts w:ascii="Calibri" w:hAnsi="Calibri"/>
                <w:sz w:val="22"/>
              </w:rPr>
              <w:t>$7M</w:t>
            </w:r>
          </w:p>
        </w:tc>
        <w:tc>
          <w:tcPr>
            <w:tcW w:type="dxa" w:w="1080"/>
          </w:tcPr>
          <w:p>
            <w:r>
              <w:rPr>
                <w:rFonts w:ascii="Calibri" w:hAnsi="Calibri"/>
                <w:b/>
                <w:color w:val="E5484D"/>
                <w:sz w:val="22"/>
              </w:rPr>
              <w:t>-73.1%</w:t>
            </w:r>
          </w:p>
        </w:tc>
        <w:tc>
          <w:tcPr>
            <w:tcW w:type="dxa" w:w="1080"/>
          </w:tcPr>
          <w:p>
            <w:r>
              <w:rPr>
                <w:rFonts w:ascii="Calibri" w:hAnsi="Calibri"/>
                <w:sz w:val="22"/>
              </w:rPr>
              <w:t>Significantly improved; EBITDA positive</w:t>
            </w:r>
          </w:p>
        </w:tc>
        <w:tc>
          <w:tcPr>
            <w:tcW w:type="dxa" w:w="1080"/>
          </w:tcPr>
          <w:p>
            <w:r>
              <w:rPr>
                <w:rFonts w:ascii="Calibri" w:hAnsi="Calibri"/>
                <w:sz w:val="22"/>
              </w:rPr>
              <w:t>Confirmed</w:t>
            </w:r>
          </w:p>
        </w:tc>
        <w:tc>
          <w:tcPr>
            <w:tcW w:type="dxa" w:w="1080"/>
          </w:tcPr>
          <w:p>
            <w:r>
              <w:rPr>
                <w:rFonts w:ascii="Calibri" w:hAnsi="Calibri"/>
                <w:sz w:val="22"/>
              </w:rPr>
              <w:t>Unchanged</w:t>
            </w:r>
          </w:p>
        </w:tc>
        <w:tc>
          <w:tcPr>
            <w:tcW w:type="dxa" w:w="1080"/>
          </w:tcPr>
          <w:p>
            <w:r>
              <w:rPr>
                <w:rFonts w:ascii="Calibri" w:hAnsi="Calibri"/>
                <w:sz w:val="22"/>
              </w:rPr>
              <w:t>Consensus well below management’s directional guidance — key upside risk</w:t>
            </w:r>
          </w:p>
        </w:tc>
      </w:tr>
      <w:tr>
        <w:tc>
          <w:tcPr>
            <w:tcW w:type="dxa" w:w="1080"/>
          </w:tcPr>
          <w:p>
            <w:r>
              <w:rPr>
                <w:rFonts w:ascii="Calibri" w:hAnsi="Calibri"/>
                <w:sz w:val="22"/>
              </w:rPr>
              <w:t>Net Sales — Q2 2026</w:t>
            </w:r>
          </w:p>
        </w:tc>
        <w:tc>
          <w:tcPr>
            <w:tcW w:type="dxa" w:w="1080"/>
          </w:tcPr>
          <w:p>
            <w:r>
              <w:rPr>
                <w:rFonts w:ascii="Calibri" w:hAnsi="Calibri"/>
                <w:sz w:val="22"/>
              </w:rPr>
              <w:t>$5,632M</w:t>
            </w:r>
          </w:p>
        </w:tc>
        <w:tc>
          <w:tcPr>
            <w:tcW w:type="dxa" w:w="1080"/>
          </w:tcPr>
          <w:p>
            <w:r>
              <w:rPr>
                <w:rFonts w:ascii="Calibri" w:hAnsi="Calibri"/>
                <w:sz w:val="22"/>
              </w:rPr>
              <w:t>$5,653M</w:t>
            </w:r>
          </w:p>
        </w:tc>
        <w:tc>
          <w:tcPr>
            <w:tcW w:type="dxa" w:w="1080"/>
          </w:tcPr>
          <w:p>
            <w:r>
              <w:rPr>
                <w:rFonts w:ascii="Calibri" w:hAnsi="Calibri"/>
                <w:sz w:val="22"/>
              </w:rPr>
              <w:t>+0.4%</w:t>
            </w:r>
          </w:p>
        </w:tc>
        <w:tc>
          <w:tcPr>
            <w:tcW w:type="dxa" w:w="1080"/>
          </w:tcPr>
          <w:p>
            <w:r>
              <w:rPr>
                <w:rFonts w:ascii="Calibri" w:hAnsi="Calibri"/>
                <w:sz w:val="22"/>
              </w:rPr>
              <w:t>Not provided</w:t>
            </w:r>
          </w:p>
        </w:tc>
        <w:tc>
          <w:tcPr>
            <w:tcW w:type="dxa" w:w="1080"/>
          </w:tcPr>
          <w:p>
            <w:r>
              <w:rPr>
                <w:rFonts w:ascii="Calibri" w:hAnsi="Calibri"/>
                <w:sz w:val="22"/>
              </w:rPr>
              <w:t>Not provided</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Net Sales — FY2026</w:t>
            </w:r>
          </w:p>
        </w:tc>
        <w:tc>
          <w:tcPr>
            <w:tcW w:type="dxa" w:w="1080"/>
          </w:tcPr>
          <w:p>
            <w:r>
              <w:rPr>
                <w:rFonts w:ascii="Calibri" w:hAnsi="Calibri"/>
                <w:sz w:val="22"/>
              </w:rPr>
              <w:t>$22,256M</w:t>
            </w:r>
          </w:p>
        </w:tc>
        <w:tc>
          <w:tcPr>
            <w:tcW w:type="dxa" w:w="1080"/>
          </w:tcPr>
          <w:p>
            <w:r>
              <w:rPr>
                <w:rFonts w:ascii="Calibri" w:hAnsi="Calibri"/>
                <w:sz w:val="22"/>
              </w:rPr>
              <w:t>$23,007M</w:t>
            </w:r>
          </w:p>
        </w:tc>
        <w:tc>
          <w:tcPr>
            <w:tcW w:type="dxa" w:w="1080"/>
          </w:tcPr>
          <w:p>
            <w:r>
              <w:rPr>
                <w:rFonts w:ascii="Calibri" w:hAnsi="Calibri"/>
                <w:b/>
                <w:color w:val="30A46C"/>
                <w:sz w:val="22"/>
              </w:rPr>
              <w:t>+3.4%</w:t>
            </w:r>
          </w:p>
        </w:tc>
        <w:tc>
          <w:tcPr>
            <w:tcW w:type="dxa" w:w="1080"/>
          </w:tcPr>
          <w:p>
            <w:r>
              <w:rPr>
                <w:rFonts w:ascii="Calibri" w:hAnsi="Calibri"/>
                <w:sz w:val="22"/>
              </w:rPr>
              <w:t>Not provided</w:t>
            </w:r>
          </w:p>
        </w:tc>
        <w:tc>
          <w:tcPr>
            <w:tcW w:type="dxa" w:w="1080"/>
          </w:tcPr>
          <w:p>
            <w:r>
              <w:rPr>
                <w:rFonts w:ascii="Calibri" w:hAnsi="Calibri"/>
                <w:sz w:val="22"/>
              </w:rPr>
              <w:t>Not provided</w:t>
            </w:r>
          </w:p>
        </w:tc>
        <w:tc>
          <w:tcPr>
            <w:tcW w:type="dxa" w:w="1080"/>
          </w:tcPr>
          <w:p>
            <w:r>
              <w:rPr>
                <w:rFonts w:ascii="Calibri" w:hAnsi="Calibri"/>
                <w:sz w:val="22"/>
              </w:rPr>
              <w:t>N/A</w:t>
            </w:r>
          </w:p>
        </w:tc>
        <w:tc>
          <w:tcPr>
            <w:tcW w:type="dxa" w:w="1080"/>
          </w:tcPr>
          <w:p>
            <w:r>
              <w:rPr>
                <w:rFonts w:ascii="Calibri" w:hAnsi="Calibri"/>
                <w:sz w:val="22"/>
              </w:rPr>
              <w:t>N/A</w:t>
            </w:r>
          </w:p>
        </w:tc>
      </w:tr>
    </w:tbl>
    <w:p>
      <w:r>
        <w:rPr>
          <w:rFonts w:ascii="Calibri" w:hAnsi="Calibri"/>
          <w:color w:val="525866"/>
          <w:sz w:val="22"/>
        </w:rPr>
        <w:t>The most notable divergence is in Aluminum EBITDA: the post-Q1 baseline consensus was $26M, but current consensus has collapsed to just $7M — a 73% downward revision that appears overly conservative relative to management’s language of ‘significantly improved’ and ‘EBITDA positive.’ FY2026 estimates, by contrast, have moved meaningfully higher (+8.6% EBITDA, +9.5% EPS), reflecting growing confidence in the through-cycle earnings power as CapEx normalizes and aluminum ramps.</w:t>
      </w:r>
    </w:p>
    <w:p>
      <w:r>
        <w:rPr>
          <w:rFonts w:ascii="Calibri" w:hAnsi="Calibri"/>
          <w:i/>
          <w:color w:val="525866"/>
          <w:sz w:val="22"/>
        </w:rPr>
        <w:t>Source: Visible Alpha Consensus and Actuals Data; STLD Q1 2026 Earnings Call Transcript (April 21, 2026); STLD Q2 2026 Earnings Guidance 8-K EX-99.1 (June 17, 2026).</w:t>
      </w:r>
    </w:p>
    <w:p>
      <w:r>
        <w:br w:type="page"/>
      </w:r>
    </w:p>
    <w:p>
      <w:pPr>
        <w:pStyle w:val="Heading2"/>
      </w:pPr>
      <w:r>
        <w:rPr>
          <w:rFonts w:ascii="Calibri" w:hAnsi="Calibri"/>
          <w:b/>
          <w:color w:val="3B4259"/>
          <w:sz w:val="28"/>
        </w:rPr>
        <w:t>5. Peer Commentary &amp; Read-Through (Last 60 Days)</w:t>
      </w:r>
    </w:p>
    <w:p>
      <w:r>
        <w:rPr>
          <w:rFonts w:ascii="Calibri" w:hAnsi="Calibri"/>
          <w:b/>
          <w:color w:val="525866"/>
          <w:sz w:val="22"/>
        </w:rPr>
        <w:t xml:space="preserve">Key Takeaway: </w:t>
      </w:r>
      <w:r>
        <w:rPr>
          <w:rFonts w:ascii="Calibri" w:hAnsi="Calibri"/>
          <w:color w:val="525866"/>
          <w:sz w:val="22"/>
        </w:rPr>
        <w:t>Peer commentary from CMC (June 25 earnings call) and Reliance (June 9 Wells Fargo conference) — both covering the current Q2 2026 period — paints a consistently positive picture for domestic steel: robust non-residential construction demand, improving metal margins, declining imports, and tight supply. Nucor’s June 17 Q2 guidance pre-announcement (higher steel mill earnings, higher pricing, stable volumes) is the most direct read-through. All three signals are constructive for STLD’s Q2 print.</w:t>
      </w:r>
    </w:p>
    <w:p>
      <w:r>
        <w:rPr>
          <w:rFonts w:ascii="Calibri" w:hAnsi="Calibri"/>
          <w:b/>
          <w:color w:val="525866"/>
          <w:sz w:val="22"/>
        </w:rPr>
        <w:t xml:space="preserve">Note: </w:t>
      </w:r>
      <w:r>
        <w:rPr>
          <w:rFonts w:ascii="Calibri" w:hAnsi="Calibri"/>
          <w:i/>
          <w:color w:val="525866"/>
          <w:sz w:val="22"/>
        </w:rPr>
        <w:t>Only commentary issued after STLD’s Q1 2026 earnings (April 21, 2026) and pertaining to current Q2 2026 market conditions is included below. Prior-quarter results commentary has been excluded.</w:t>
      </w:r>
    </w:p>
    <w:p>
      <w:pPr>
        <w:pStyle w:val="Heading3"/>
      </w:pPr>
      <w:r>
        <w:rPr>
          <w:rFonts w:ascii="Calibri" w:hAnsi="Calibri"/>
          <w:b/>
          <w:color w:val="3B4259"/>
          <w:sz w:val="24"/>
        </w:rPr>
        <w:t>Nucor (NUE) — Q2 2026 Guidance Pre-Announcement (June 17, 2026)</w:t>
      </w:r>
    </w:p>
    <w:p>
      <w:r>
        <w:rPr>
          <w:rFonts w:ascii="Calibri" w:hAnsi="Calibri"/>
          <w:b/>
          <w:color w:val="525866"/>
          <w:sz w:val="22"/>
        </w:rPr>
        <w:t xml:space="preserve">Relevance: </w:t>
      </w:r>
      <w:r>
        <w:rPr>
          <w:rFonts w:ascii="Calibri" w:hAnsi="Calibri"/>
          <w:color w:val="525866"/>
          <w:sz w:val="22"/>
        </w:rPr>
        <w:t xml:space="preserve">Highest-quality read-through. Nucor is STLD’s closest peer (similar EAF model, steel mills + products + raw materials). Nucor pre-announced Q2 2026 EPS of $4.70–$4.80 ($4.50–$4.60 adjusted, excluding a $0.20 non-cash Helion investment gain), with earnings expected to increase across </w:t>
      </w:r>
      <w:r>
        <w:rPr>
          <w:rFonts w:ascii="Calibri" w:hAnsi="Calibri"/>
          <w:b/>
          <w:color w:val="525866"/>
          <w:sz w:val="22"/>
        </w:rPr>
        <w:t>all three segments</w:t>
      </w:r>
      <w:r>
        <w:rPr>
          <w:rFonts w:ascii="Calibri" w:hAnsi="Calibri"/>
          <w:color w:val="525866"/>
          <w:sz w:val="22"/>
        </w:rPr>
        <w:t xml:space="preserve"> vs. Q1 2026.</w:t>
      </w:r>
    </w:p>
    <w:p>
      <w:pPr>
        <w:pStyle w:val="ListBullet"/>
        <w:ind w:left="360" w:hanging="360"/>
      </w:pPr>
      <w:r>
        <w:rPr>
          <w:rFonts w:ascii="Calibri" w:hAnsi="Calibri"/>
          <w:b/>
          <w:color w:val="525866"/>
          <w:sz w:val="22"/>
        </w:rPr>
        <w:t xml:space="preserve">Steel Mills (largest increase): </w:t>
      </w:r>
      <w:r>
        <w:rPr>
          <w:rFonts w:ascii="Calibri" w:hAnsi="Calibri"/>
          <w:color w:val="525866"/>
          <w:sz w:val="22"/>
        </w:rPr>
        <w:t>Higher average selling prices and stable volumes. Also includes ~$130M in cash refunds on prior-period raw material procurement costs (one-time, NUE-specific — not applicable to STLD). The underlying pricing and volume signal is directly positive for STLD.</w:t>
      </w:r>
    </w:p>
    <w:p>
      <w:pPr>
        <w:pStyle w:val="ListBullet"/>
        <w:ind w:left="360" w:hanging="360"/>
      </w:pPr>
      <w:r>
        <w:rPr>
          <w:rFonts w:ascii="Calibri" w:hAnsi="Calibri"/>
          <w:b/>
          <w:color w:val="525866"/>
          <w:sz w:val="22"/>
        </w:rPr>
        <w:t xml:space="preserve">Steel Products: </w:t>
      </w:r>
      <w:r>
        <w:rPr>
          <w:rFonts w:ascii="Calibri" w:hAnsi="Calibri"/>
          <w:color w:val="525866"/>
          <w:sz w:val="22"/>
        </w:rPr>
        <w:t>Higher earnings driven by increased volumes and slightly higher average realized pricing — consistent with STLD’s fabrication backlog commentary.</w:t>
      </w:r>
    </w:p>
    <w:p>
      <w:pPr>
        <w:pStyle w:val="ListBullet"/>
        <w:ind w:left="360" w:hanging="360"/>
      </w:pPr>
      <w:r>
        <w:rPr>
          <w:rFonts w:ascii="Calibri" w:hAnsi="Calibri"/>
          <w:b/>
          <w:color w:val="525866"/>
          <w:sz w:val="22"/>
        </w:rPr>
        <w:t xml:space="preserve">Raw Materials: </w:t>
      </w:r>
      <w:r>
        <w:rPr>
          <w:rFonts w:ascii="Calibri" w:hAnsi="Calibri"/>
          <w:color w:val="525866"/>
          <w:sz w:val="22"/>
        </w:rPr>
        <w:t>Higher earnings due to higher average realized prices — positive for STLD’s OmniSource scrap operations.</w:t>
      </w:r>
    </w:p>
    <w:p>
      <w:pPr>
        <w:pStyle w:val="ListBullet"/>
        <w:ind w:left="360" w:hanging="360"/>
      </w:pPr>
      <w:r>
        <w:rPr>
          <w:rFonts w:ascii="Calibri" w:hAnsi="Calibri"/>
          <w:b/>
          <w:color w:val="525866"/>
          <w:sz w:val="22"/>
        </w:rPr>
        <w:t xml:space="preserve">Read-Through for STLD: </w:t>
      </w:r>
      <w:r>
        <w:rPr>
          <w:rFonts w:ascii="Calibri" w:hAnsi="Calibri"/>
          <w:color w:val="525866"/>
          <w:sz w:val="22"/>
        </w:rPr>
        <w:t>Broad-based Q2 improvement across all steel segments at Nucor strongly validates STLD’s own guidance for meaningfully higher steel operations profitability. The pricing and volume environment is supportive.</w:t>
      </w:r>
    </w:p>
    <w:p>
      <w:pPr>
        <w:pStyle w:val="Heading3"/>
      </w:pPr>
      <w:r>
        <w:rPr>
          <w:rFonts w:ascii="Calibri" w:hAnsi="Calibri"/>
          <w:b/>
          <w:color w:val="3B4259"/>
          <w:sz w:val="24"/>
        </w:rPr>
        <w:t>Commercial Metals Company (CMC) — Fiscal Q3 2026 Earnings Call (June 25, 2026)</w:t>
      </w:r>
    </w:p>
    <w:p>
      <w:r>
        <w:rPr>
          <w:rFonts w:ascii="Calibri" w:hAnsi="Calibri"/>
          <w:b/>
          <w:color w:val="525866"/>
          <w:sz w:val="22"/>
        </w:rPr>
        <w:t xml:space="preserve">Relevance: </w:t>
      </w:r>
      <w:r>
        <w:rPr>
          <w:rFonts w:ascii="Calibri" w:hAnsi="Calibri"/>
          <w:color w:val="525866"/>
          <w:sz w:val="22"/>
        </w:rPr>
        <w:t>CMC’s fiscal Q3 (March–May 2026) overlaps with STLD’s Q2 2026 (April–June 2026). CMC’s Q4 outlook (June–August 2026) provides forward visibility into the same period STLD is reporting.</w:t>
      </w:r>
    </w:p>
    <w:p>
      <w:pPr>
        <w:pStyle w:val="ListBullet"/>
        <w:ind w:left="360" w:hanging="360"/>
      </w:pPr>
      <w:r>
        <w:rPr>
          <w:rFonts w:ascii="Calibri" w:hAnsi="Calibri"/>
          <w:b/>
          <w:color w:val="525866"/>
          <w:sz w:val="22"/>
        </w:rPr>
        <w:t xml:space="preserve">Demand: </w:t>
      </w:r>
      <w:r>
        <w:rPr>
          <w:rFonts w:ascii="Calibri" w:hAnsi="Calibri"/>
          <w:color w:val="525866"/>
          <w:sz w:val="22"/>
        </w:rPr>
        <w:t>US apparent steel consumption up 3.2% YTD. Downstream bookings grew 9%+ YoY in Q3. Non-residential construction demand increasingly driven by large-scale mega-projects (data centers, semiconductor capacity, energy networks) concentrated in the Sunbelt and East Coast — directly aligned with STLD’s geographic footprint and product mix.</w:t>
      </w:r>
    </w:p>
    <w:p>
      <w:pPr>
        <w:pStyle w:val="ListBullet"/>
        <w:ind w:left="360" w:hanging="360"/>
      </w:pPr>
      <w:r>
        <w:rPr>
          <w:rFonts w:ascii="Calibri" w:hAnsi="Calibri"/>
          <w:b/>
          <w:color w:val="525866"/>
          <w:sz w:val="22"/>
        </w:rPr>
        <w:t xml:space="preserve">Pricing &amp; Margins: </w:t>
      </w:r>
      <w:r>
        <w:rPr>
          <w:rFonts w:ascii="Calibri" w:hAnsi="Calibri"/>
          <w:color w:val="525866"/>
          <w:sz w:val="22"/>
        </w:rPr>
        <w:t>‘Previously announced steel price increases are in the market, taking hold and yielding higher metal margins.’ CMC expects to ‘reestablish metal margins consistent with where they were prior to Q3’ in Q4. North American Steel Group EBITDA/ton was $234 in Q3, up 41% YoY.</w:t>
      </w:r>
    </w:p>
    <w:p>
      <w:pPr>
        <w:pStyle w:val="ListBullet"/>
        <w:ind w:left="360" w:hanging="360"/>
      </w:pPr>
      <w:r>
        <w:rPr>
          <w:rFonts w:ascii="Calibri" w:hAnsi="Calibri"/>
          <w:b/>
          <w:color w:val="525866"/>
          <w:sz w:val="22"/>
        </w:rPr>
        <w:t xml:space="preserve">Scrap Costs: </w:t>
      </w:r>
      <w:r>
        <w:rPr>
          <w:rFonts w:ascii="Calibri" w:hAnsi="Calibri"/>
          <w:color w:val="525866"/>
          <w:sz w:val="22"/>
        </w:rPr>
        <w:t>Scrap costs expected to ‘remain relatively stable’ for the balance of CMC’s fiscal year. Q3 increase was attributed to winter/diesel cost flow-through — now stabilizing. Positive for STLD’s metal spread outlook.</w:t>
      </w:r>
    </w:p>
    <w:p>
      <w:pPr>
        <w:pStyle w:val="ListBullet"/>
        <w:ind w:left="360" w:hanging="360"/>
      </w:pPr>
      <w:r>
        <w:rPr>
          <w:rFonts w:ascii="Calibri" w:hAnsi="Calibri"/>
          <w:b/>
          <w:color w:val="525866"/>
          <w:sz w:val="22"/>
        </w:rPr>
        <w:t xml:space="preserve">Imports: </w:t>
      </w:r>
      <w:r>
        <w:rPr>
          <w:rFonts w:ascii="Calibri" w:hAnsi="Calibri"/>
          <w:color w:val="525866"/>
          <w:sz w:val="22"/>
        </w:rPr>
        <w:t>‘Imports expected to go down in the second half.’ Anti-dumping/countervailing duties against producers in four countries (covering ~500K tons of rebar) now in place for minimum five years. Elevated ocean freight costs provide additional buffer. Directly positive for domestic pricing.</w:t>
      </w:r>
    </w:p>
    <w:p>
      <w:pPr>
        <w:pStyle w:val="ListBullet"/>
        <w:ind w:left="360" w:hanging="360"/>
      </w:pPr>
      <w:r>
        <w:rPr>
          <w:rFonts w:ascii="Calibri" w:hAnsi="Calibri"/>
          <w:b/>
          <w:color w:val="525866"/>
          <w:sz w:val="22"/>
        </w:rPr>
        <w:t xml:space="preserve">Infrastructure: </w:t>
      </w:r>
      <w:r>
        <w:rPr>
          <w:rFonts w:ascii="Calibri" w:hAnsi="Calibri"/>
          <w:color w:val="525866"/>
          <w:sz w:val="22"/>
        </w:rPr>
        <w:t>More than 50% of IIJA funding yet to be spent, supporting highway construction and general infrastructure. Multi-year demand tailwind.</w:t>
      </w:r>
    </w:p>
    <w:p>
      <w:pPr>
        <w:pStyle w:val="ListBullet"/>
        <w:ind w:left="360" w:hanging="360"/>
      </w:pPr>
      <w:r>
        <w:rPr>
          <w:rFonts w:ascii="Calibri" w:hAnsi="Calibri"/>
          <w:b/>
          <w:color w:val="525866"/>
          <w:sz w:val="22"/>
        </w:rPr>
        <w:t xml:space="preserve">Read-Through for STLD: </w:t>
      </w:r>
      <w:r>
        <w:rPr>
          <w:rFonts w:ascii="Calibri" w:hAnsi="Calibri"/>
          <w:color w:val="525866"/>
          <w:sz w:val="22"/>
        </w:rPr>
        <w:t>CMC’s commentary is broadly positive for STLD’s Q2 steel operations. Improving pricing, stable scrap, declining imports, and robust non-residential construction demand all support STLD’s guided ‘meaningfully higher’ steel profitability. CMC’s Q4 outlook (June–August) also provides early visibility into STLD’s Q3 setup.</w:t>
      </w:r>
    </w:p>
    <w:p>
      <w:pPr>
        <w:pStyle w:val="Heading3"/>
      </w:pPr>
      <w:r>
        <w:rPr>
          <w:rFonts w:ascii="Calibri" w:hAnsi="Calibri"/>
          <w:b/>
          <w:color w:val="3B4259"/>
          <w:sz w:val="24"/>
        </w:rPr>
        <w:t>Reliance, Inc. (RS) — Wells Fargo Industrials &amp; Materials Conference (June 9, 2026)</w:t>
      </w:r>
    </w:p>
    <w:p>
      <w:r>
        <w:rPr>
          <w:rFonts w:ascii="Calibri" w:hAnsi="Calibri"/>
          <w:b/>
          <w:color w:val="525866"/>
          <w:sz w:val="22"/>
        </w:rPr>
        <w:t xml:space="preserve">Relevance: </w:t>
      </w:r>
      <w:r>
        <w:rPr>
          <w:rFonts w:ascii="Calibri" w:hAnsi="Calibri"/>
          <w:color w:val="525866"/>
          <w:sz w:val="22"/>
        </w:rPr>
        <w:t>Reliance is the largest metals service center in North America. Its commentary on market conditions in early June 2026 provides a real-time read on steel demand and pricing during STLD’s Q2.</w:t>
      </w:r>
    </w:p>
    <w:p>
      <w:pPr>
        <w:pStyle w:val="ListBullet"/>
        <w:ind w:left="360" w:hanging="360"/>
      </w:pPr>
      <w:r>
        <w:rPr>
          <w:rFonts w:ascii="Calibri" w:hAnsi="Calibri"/>
          <w:b/>
          <w:color w:val="525866"/>
          <w:sz w:val="22"/>
        </w:rPr>
        <w:t xml:space="preserve">Demand: </w:t>
      </w:r>
      <w:r>
        <w:rPr>
          <w:rFonts w:ascii="Calibri" w:hAnsi="Calibri"/>
          <w:color w:val="525866"/>
          <w:sz w:val="22"/>
        </w:rPr>
        <w:t>‘Demand is absolutely getting better’ and ‘the mill tightness is real.’ Record shipments in Q4 2025 and new record shipments in Q1 2026, with momentum continuing into Q2. Customers have ‘settled into the fact that tariffs are here’ and are proceeding with business.</w:t>
      </w:r>
    </w:p>
    <w:p>
      <w:pPr>
        <w:pStyle w:val="ListBullet"/>
        <w:ind w:left="360" w:hanging="360"/>
      </w:pPr>
      <w:r>
        <w:rPr>
          <w:rFonts w:ascii="Calibri" w:hAnsi="Calibri"/>
          <w:b/>
          <w:color w:val="525866"/>
          <w:sz w:val="22"/>
        </w:rPr>
        <w:t xml:space="preserve">Pricing: </w:t>
      </w:r>
      <w:r>
        <w:rPr>
          <w:rFonts w:ascii="Calibri" w:hAnsi="Calibri"/>
          <w:color w:val="525866"/>
          <w:sz w:val="22"/>
        </w:rPr>
        <w:t>‘Prices are at a great level. Everybody can make a fair profit.’ Beams at record prices with lead times ‘never this far extended.’ Plate rebounding strongly. Flat-rolled galvanized margins ‘improving a little bit.’</w:t>
      </w:r>
    </w:p>
    <w:p>
      <w:pPr>
        <w:pStyle w:val="ListBullet"/>
        <w:ind w:left="360" w:hanging="360"/>
      </w:pPr>
      <w:r>
        <w:rPr>
          <w:rFonts w:ascii="Calibri" w:hAnsi="Calibri"/>
          <w:b/>
          <w:color w:val="525866"/>
          <w:sz w:val="22"/>
        </w:rPr>
        <w:t xml:space="preserve">Structural Products: </w:t>
      </w:r>
      <w:r>
        <w:rPr>
          <w:rFonts w:ascii="Calibri" w:hAnsi="Calibri"/>
          <w:color w:val="525866"/>
          <w:sz w:val="22"/>
        </w:rPr>
        <w:t>Beams ‘pretty full for the rest of the year.’ Plate lead times extended. Flat-rolled ‘kind of tight.’ Directly positive for STLD’s structural and flat-rolled divisions.</w:t>
      </w:r>
    </w:p>
    <w:p>
      <w:pPr>
        <w:pStyle w:val="ListBullet"/>
        <w:ind w:left="360" w:hanging="360"/>
      </w:pPr>
      <w:r>
        <w:rPr>
          <w:rFonts w:ascii="Calibri" w:hAnsi="Calibri"/>
          <w:b/>
          <w:color w:val="525866"/>
          <w:sz w:val="22"/>
        </w:rPr>
        <w:t xml:space="preserve">Data Centers: </w:t>
      </w:r>
      <w:r>
        <w:rPr>
          <w:rFonts w:ascii="Calibri" w:hAnsi="Calibri"/>
          <w:color w:val="525866"/>
          <w:sz w:val="22"/>
        </w:rPr>
        <w:t>‘Almost every one of our companies talk about something they were doing for data centers’ — selling aluminum, stainless, copper into interior racking, cooling systems. Energy infrastructure build-out also driving incremental steel demand. Positive for STLD’s fabrication backlog.</w:t>
      </w:r>
    </w:p>
    <w:p>
      <w:pPr>
        <w:pStyle w:val="ListBullet"/>
        <w:ind w:left="360" w:hanging="360"/>
      </w:pPr>
      <w:r>
        <w:rPr>
          <w:rFonts w:ascii="Calibri" w:hAnsi="Calibri"/>
          <w:b/>
          <w:color w:val="525866"/>
          <w:sz w:val="22"/>
        </w:rPr>
        <w:t xml:space="preserve">Aluminum: </w:t>
      </w:r>
      <w:r>
        <w:rPr>
          <w:rFonts w:ascii="Calibri" w:hAnsi="Calibri"/>
          <w:color w:val="525866"/>
          <w:sz w:val="22"/>
        </w:rPr>
        <w:t>Reliance expects ‘some shortages maybe towards the end of the summer’ in aluminum — a structural supply deficit signal that is directly positive for STLD’s aluminum pricing and spread assumptions.</w:t>
      </w:r>
    </w:p>
    <w:p>
      <w:pPr>
        <w:pStyle w:val="ListBullet"/>
        <w:ind w:left="360" w:hanging="360"/>
      </w:pPr>
      <w:r>
        <w:rPr>
          <w:rFonts w:ascii="Calibri" w:hAnsi="Calibri"/>
          <w:b/>
          <w:color w:val="525866"/>
          <w:sz w:val="22"/>
        </w:rPr>
        <w:t xml:space="preserve">Imports: </w:t>
      </w:r>
      <w:r>
        <w:rPr>
          <w:rFonts w:ascii="Calibri" w:hAnsi="Calibri"/>
          <w:color w:val="525866"/>
          <w:sz w:val="22"/>
        </w:rPr>
        <w:t>US mills had a ‘direct pickup in volume’ as imports declined. Competitors who previously bought overseas now paying full domestic prices, leveling the playing field.</w:t>
      </w:r>
    </w:p>
    <w:p>
      <w:pPr>
        <w:pStyle w:val="ListBullet"/>
        <w:ind w:left="360" w:hanging="360"/>
      </w:pPr>
      <w:r>
        <w:rPr>
          <w:rFonts w:ascii="Calibri" w:hAnsi="Calibri"/>
          <w:b/>
          <w:color w:val="525866"/>
          <w:sz w:val="22"/>
        </w:rPr>
        <w:t xml:space="preserve">Read-Through for STLD: </w:t>
      </w:r>
      <w:r>
        <w:rPr>
          <w:rFonts w:ascii="Calibri" w:hAnsi="Calibri"/>
          <w:color w:val="525866"/>
          <w:sz w:val="22"/>
        </w:rPr>
        <w:t>Reliance’s commentary confirms the tight supply, strong demand, and favorable pricing environment that underpins STLD’s Q2 guidance. The aluminum shortage signal is a notable positive for STLD’s aluminum spread assumptions and potential upward revision to through-cycle EBITDA targets.</w:t>
      </w:r>
    </w:p>
    <w:p>
      <w:r>
        <w:rPr>
          <w:rFonts w:ascii="Calibri" w:hAnsi="Calibri"/>
          <w:b/>
          <w:color w:val="525866"/>
          <w:sz w:val="22"/>
        </w:rPr>
        <w:t xml:space="preserve">Valuation Context: </w:t>
      </w:r>
      <w:r>
        <w:rPr>
          <w:rFonts w:ascii="Calibri" w:hAnsi="Calibri"/>
          <w:color w:val="525866"/>
          <w:sz w:val="22"/>
        </w:rPr>
        <w:t>STLD trades at 9.1x NTM EV/EBITDA, a 14.6% premium to the steel peer group average (8.0x). The premium has narrowed vs. the 1-year average (was at a slight discount), reflecting the stock’s strong re-rating. The 12-month multiple expansion of +17.9% has been a meaningful contributor to the +84.8% 12-month price return, alongside significant estimate upgrades. The 1-month pullback (-14.1%) is almost entirely multiple compression (-16.5%), suggesting the market is digesting the June pre-announcement and awaiting confirmation of the aluminum ramp.</w:t>
      </w:r>
    </w:p>
    <w:p>
      <w:r>
        <w:rPr>
          <w:rFonts w:ascii="Calibri" w:hAnsi="Calibri"/>
          <w:i/>
          <w:color w:val="525866"/>
          <w:sz w:val="22"/>
        </w:rPr>
        <w:t>Source: Stock Price Data (Yahoo Finance); Visible Alpha Consensus and Actuals Data (NTM multiples).</w:t>
      </w:r>
    </w:p>
    <w:p>
      <w:r>
        <w:br w:type="page"/>
      </w:r>
    </w:p>
    <w:p>
      <w:pPr>
        <w:pStyle w:val="Heading2"/>
      </w:pPr>
      <w:r>
        <w:rPr>
          <w:rFonts w:ascii="Calibri" w:hAnsi="Calibri"/>
          <w:b/>
          <w:color w:val="3B4259"/>
          <w:sz w:val="28"/>
        </w:rPr>
        <w:t>7. Material News &amp; Developments</w:t>
      </w:r>
    </w:p>
    <w:p>
      <w:r>
        <w:rPr>
          <w:rFonts w:ascii="Calibri" w:hAnsi="Calibri"/>
          <w:b/>
          <w:color w:val="525866"/>
          <w:sz w:val="22"/>
        </w:rPr>
        <w:t xml:space="preserve">Key Takeaway: </w:t>
      </w:r>
      <w:r>
        <w:rPr>
          <w:rFonts w:ascii="Calibri" w:hAnsi="Calibri"/>
          <w:color w:val="525866"/>
          <w:sz w:val="22"/>
        </w:rPr>
        <w:t>The June 17 pre-announcement (EPS guidance + $16M write-down from Arizona slab center relocation) is the most material post-Q1 development. Operationally, the aluminum ramp is progressing ahead of schedule on shipments, and the fabrication backlog has strengthened further. Trade policy tailwinds (tariffs, anti-dumping duties) remain supportive of domestic steel pricing.</w:t>
      </w:r>
    </w:p>
    <w:p>
      <w:pPr>
        <w:pStyle w:val="ListBullet"/>
        <w:ind w:left="360" w:hanging="360"/>
      </w:pPr>
      <w:r>
        <w:rPr>
          <w:rFonts w:ascii="Calibri" w:hAnsi="Calibri"/>
          <w:b/>
          <w:color w:val="525866"/>
          <w:sz w:val="22"/>
        </w:rPr>
        <w:t xml:space="preserve">June 17, 2026 — Q2 2026 Earnings Guidance Pre-Announcement (8-K): </w:t>
      </w:r>
      <w:r>
        <w:rPr>
          <w:rFonts w:ascii="Calibri" w:hAnsi="Calibri"/>
          <w:color w:val="525866"/>
          <w:sz w:val="22"/>
        </w:rPr>
        <w:t xml:space="preserve">STLD issued Q2 EPS guidance of $3.51–$3.55, including a $16M write-down from the decision to relocate the planned second satellite aluminum recycled slab center from Arizona to Columbus, Mississippi (issues with Arizona state officials posed risks to construction and operations). Underlying operational guidance was constructive: steel operations profitability ‘meaningfully higher,’ aluminum shipments sharply higher, fabrication backlog now ~40% above year-ago. Company also disclosed $170M in share repurchases during Q2 to date (~0.5% of shares). </w:t>
      </w:r>
      <w:r>
        <w:rPr>
          <w:rFonts w:ascii="Calibri" w:hAnsi="Calibri"/>
          <w:b/>
          <w:color w:val="525866"/>
          <w:sz w:val="22"/>
        </w:rPr>
        <w:t xml:space="preserve">Implication: </w:t>
      </w:r>
      <w:r>
        <w:rPr>
          <w:rFonts w:ascii="Calibri" w:hAnsi="Calibri"/>
          <w:color w:val="525866"/>
          <w:sz w:val="22"/>
        </w:rPr>
        <w:t>The write-down is a one-time item; the relocation to Columbus, MS is strategically sound (proximity to the main mill). The buyback signals management confidence in the balance sheet.</w:t>
      </w:r>
    </w:p>
    <w:p>
      <w:pPr>
        <w:pStyle w:val="ListBullet"/>
        <w:ind w:left="360" w:hanging="360"/>
      </w:pPr>
      <w:r>
        <w:rPr>
          <w:rFonts w:ascii="Calibri" w:hAnsi="Calibri"/>
          <w:b/>
          <w:color w:val="525866"/>
          <w:sz w:val="22"/>
        </w:rPr>
        <w:t xml:space="preserve">June 25, 2026 — CMC Q3 FY2026 Earnings (Peer Read-Through): </w:t>
      </w:r>
      <w:r>
        <w:rPr>
          <w:rFonts w:ascii="Calibri" w:hAnsi="Calibri"/>
          <w:color w:val="525866"/>
          <w:sz w:val="22"/>
        </w:rPr>
        <w:t xml:space="preserve">CMC reported strong results with North American Steel Group EBITDA/ton of $234 (+41% YoY) and guided for a $40–50M sequential improvement in Q4. Confirmed improving pricing, stable scrap, and declining imports. </w:t>
      </w:r>
      <w:r>
        <w:rPr>
          <w:rFonts w:ascii="Calibri" w:hAnsi="Calibri"/>
          <w:b/>
          <w:color w:val="525866"/>
          <w:sz w:val="22"/>
        </w:rPr>
        <w:t xml:space="preserve">Implication: </w:t>
      </w:r>
      <w:r>
        <w:rPr>
          <w:rFonts w:ascii="Calibri" w:hAnsi="Calibri"/>
          <w:color w:val="525866"/>
          <w:sz w:val="22"/>
        </w:rPr>
        <w:t>Validates STLD’s Q2 steel operations guidance and provides early positive read on Q3 setup.</w:t>
      </w:r>
    </w:p>
    <w:p>
      <w:pPr>
        <w:pStyle w:val="ListBullet"/>
        <w:ind w:left="360" w:hanging="360"/>
      </w:pPr>
      <w:r>
        <w:rPr>
          <w:rFonts w:ascii="Calibri" w:hAnsi="Calibri"/>
          <w:b/>
          <w:color w:val="525866"/>
          <w:sz w:val="22"/>
        </w:rPr>
        <w:t xml:space="preserve">June 17, 2026 — Nucor Q2 2026 Guidance Pre-Announcement (Peer Read-Through): </w:t>
      </w:r>
      <w:r>
        <w:rPr>
          <w:rFonts w:ascii="Calibri" w:hAnsi="Calibri"/>
          <w:color w:val="525866"/>
          <w:sz w:val="22"/>
        </w:rPr>
        <w:t xml:space="preserve">NUE guided Q2 EPS to $4.70–$4.80 ($4.50–$4.60 adjusted), with earnings higher across all three segments. Steel mills segment to see the largest increase, driven by higher average selling prices and stable volumes. </w:t>
      </w:r>
      <w:r>
        <w:rPr>
          <w:rFonts w:ascii="Calibri" w:hAnsi="Calibri"/>
          <w:b/>
          <w:color w:val="525866"/>
          <w:sz w:val="22"/>
        </w:rPr>
        <w:t xml:space="preserve">Implication: </w:t>
      </w:r>
      <w:r>
        <w:rPr>
          <w:rFonts w:ascii="Calibri" w:hAnsi="Calibri"/>
          <w:color w:val="525866"/>
          <w:sz w:val="22"/>
        </w:rPr>
        <w:t>Strongest direct peer validation of STLD’s steel operations guidance.</w:t>
      </w:r>
    </w:p>
    <w:p>
      <w:pPr>
        <w:pStyle w:val="ListBullet"/>
        <w:ind w:left="360" w:hanging="360"/>
      </w:pPr>
      <w:r>
        <w:rPr>
          <w:rFonts w:ascii="Calibri" w:hAnsi="Calibri"/>
          <w:b/>
          <w:color w:val="525866"/>
          <w:sz w:val="22"/>
        </w:rPr>
        <w:t xml:space="preserve">June 9, 2026 — Reliance Wells Fargo Conference (Peer Read-Through): </w:t>
      </w:r>
      <w:r>
        <w:rPr>
          <w:rFonts w:ascii="Calibri" w:hAnsi="Calibri"/>
          <w:color w:val="525866"/>
          <w:sz w:val="22"/>
        </w:rPr>
        <w:t xml:space="preserve">Reliance confirmed record shipments in Q1 2026 continuing into Q2, with demand ‘absolutely getting better,’ mill tightness ‘real,’ and aluminum shortages expected ‘towards the end of the summer.’ </w:t>
      </w:r>
      <w:r>
        <w:rPr>
          <w:rFonts w:ascii="Calibri" w:hAnsi="Calibri"/>
          <w:b/>
          <w:color w:val="525866"/>
          <w:sz w:val="22"/>
        </w:rPr>
        <w:t xml:space="preserve">Implication: </w:t>
      </w:r>
      <w:r>
        <w:rPr>
          <w:rFonts w:ascii="Calibri" w:hAnsi="Calibri"/>
          <w:color w:val="525866"/>
          <w:sz w:val="22"/>
        </w:rPr>
        <w:t>Aluminum shortage signal is a notable positive for STLD’s aluminum pricing and spread assumptions.</w:t>
      </w:r>
    </w:p>
    <w:p>
      <w:pPr>
        <w:pStyle w:val="ListBullet"/>
        <w:ind w:left="360" w:hanging="360"/>
      </w:pPr>
      <w:r>
        <w:rPr>
          <w:rFonts w:ascii="Calibri" w:hAnsi="Calibri"/>
          <w:b/>
          <w:color w:val="525866"/>
          <w:sz w:val="22"/>
        </w:rPr>
        <w:t xml:space="preserve">July 11, 2026 — 21st Century Road to Housing Act Signed into Law: </w:t>
      </w:r>
      <w:r>
        <w:rPr>
          <w:rFonts w:ascii="Calibri" w:hAnsi="Calibri"/>
          <w:color w:val="525866"/>
          <w:sz w:val="22"/>
        </w:rPr>
        <w:t xml:space="preserve">The largest housing bill in decades became law, targeting a 4M+ home shortage through faster permitting, zoning reform, and expanded mortgage financing. </w:t>
      </w:r>
      <w:r>
        <w:rPr>
          <w:rFonts w:ascii="Calibri" w:hAnsi="Calibri"/>
          <w:b/>
          <w:color w:val="525866"/>
          <w:sz w:val="22"/>
        </w:rPr>
        <w:t xml:space="preserve">Implication: </w:t>
      </w:r>
      <w:r>
        <w:rPr>
          <w:rFonts w:ascii="Calibri" w:hAnsi="Calibri"/>
          <w:color w:val="525866"/>
          <w:sz w:val="22"/>
        </w:rPr>
        <w:t>Medium-term positive for STLD’s steel fabrication (joists, deck) and flat-rolled products as residential construction activity eventually recovers.</w:t>
      </w:r>
    </w:p>
    <w:p>
      <w:pPr>
        <w:pStyle w:val="ListBullet"/>
        <w:ind w:left="360" w:hanging="360"/>
      </w:pPr>
      <w:r>
        <w:rPr>
          <w:rFonts w:ascii="Calibri" w:hAnsi="Calibri"/>
          <w:b/>
          <w:color w:val="525866"/>
          <w:sz w:val="22"/>
        </w:rPr>
        <w:t xml:space="preserve">Ongoing — Trade Policy Tailwinds: </w:t>
      </w:r>
      <w:r>
        <w:rPr>
          <w:rFonts w:ascii="Calibri" w:hAnsi="Calibri"/>
          <w:color w:val="525866"/>
          <w:sz w:val="22"/>
        </w:rPr>
        <w:t xml:space="preserve">Section 232 tariffs remain in place. Anti-dumping/countervailing duties against rebar producers in four countries now in effect for minimum five years (per CMC commentary). Elevated ocean freight costs provide additional buffer against import competition. </w:t>
      </w:r>
      <w:r>
        <w:rPr>
          <w:rFonts w:ascii="Calibri" w:hAnsi="Calibri"/>
          <w:b/>
          <w:color w:val="525866"/>
          <w:sz w:val="22"/>
        </w:rPr>
        <w:t xml:space="preserve">Implication: </w:t>
      </w:r>
      <w:r>
        <w:rPr>
          <w:rFonts w:ascii="Calibri" w:hAnsi="Calibri"/>
          <w:color w:val="525866"/>
          <w:sz w:val="22"/>
        </w:rPr>
        <w:t>Structural support for domestic steel pricing through at least 2026–2027.</w:t>
      </w:r>
    </w:p>
    <w:p>
      <w:pPr>
        <w:pStyle w:val="ListBullet"/>
        <w:ind w:left="360" w:hanging="360"/>
      </w:pPr>
      <w:r>
        <w:rPr>
          <w:rFonts w:ascii="Calibri" w:hAnsi="Calibri"/>
          <w:b/>
          <w:color w:val="525866"/>
          <w:sz w:val="22"/>
        </w:rPr>
        <w:t xml:space="preserve">Ongoing — BlueScope M&amp;A Pursuit Stalled: </w:t>
      </w:r>
      <w:r>
        <w:rPr>
          <w:rFonts w:ascii="Calibri" w:hAnsi="Calibri"/>
          <w:color w:val="525866"/>
          <w:sz w:val="22"/>
        </w:rPr>
        <w:t xml:space="preserve">STLD’s joint ‘best and final’ offer with SGH for BlueScope was rejected in February 2026, with no constructive engagement since. </w:t>
      </w:r>
      <w:r>
        <w:rPr>
          <w:rFonts w:ascii="Calibri" w:hAnsi="Calibri"/>
          <w:b/>
          <w:color w:val="525866"/>
          <w:sz w:val="22"/>
        </w:rPr>
        <w:t xml:space="preserve">Implication: </w:t>
      </w:r>
      <w:r>
        <w:rPr>
          <w:rFonts w:ascii="Calibri" w:hAnsi="Calibri"/>
          <w:color w:val="525866"/>
          <w:sz w:val="22"/>
        </w:rPr>
        <w:t>Removes a potential large-cap M&amp;A overhang. Management has signaled continued appetite for organic growth and smaller bolt-on opportunities.</w:t>
      </w:r>
    </w:p>
    <w:p>
      <w:pPr>
        <w:pStyle w:val="ListBullet"/>
        <w:ind w:left="360" w:hanging="360"/>
      </w:pPr>
      <w:r>
        <w:rPr>
          <w:rFonts w:ascii="Calibri" w:hAnsi="Calibri"/>
          <w:b/>
          <w:color w:val="525866"/>
          <w:sz w:val="22"/>
        </w:rPr>
        <w:t xml:space="preserve">May 8, 2026 — Annual Shareholder Meeting: </w:t>
      </w:r>
      <w:r>
        <w:rPr>
          <w:rFonts w:ascii="Calibri" w:hAnsi="Calibri"/>
          <w:color w:val="525866"/>
          <w:sz w:val="22"/>
        </w:rPr>
        <w:t>Directors elected; political spending proposal rejected. No material governance changes.</w:t>
      </w:r>
    </w:p>
    <w:p>
      <w:r>
        <w:br w:type="page"/>
      </w:r>
    </w:p>
    <w:p>
      <w:pPr>
        <w:pStyle w:val="Heading2"/>
      </w:pPr>
      <w:r>
        <w:rPr>
          <w:rFonts w:ascii="Calibri" w:hAnsi="Calibri"/>
          <w:b/>
          <w:color w:val="3B4259"/>
          <w:sz w:val="28"/>
        </w:rPr>
        <w:t>9. Key Risks &amp; Questions for the Call</w:t>
      </w:r>
    </w:p>
    <w:p>
      <w:pPr>
        <w:pStyle w:val="Heading3"/>
      </w:pPr>
      <w:r>
        <w:rPr>
          <w:rFonts w:ascii="Calibri" w:hAnsi="Calibri"/>
          <w:b/>
          <w:color w:val="3B4259"/>
          <w:sz w:val="24"/>
        </w:rPr>
        <w:t>Key Risks</w:t>
      </w:r>
    </w:p>
    <w:p>
      <w:pPr>
        <w:pStyle w:val="ListBullet"/>
        <w:ind w:left="360" w:hanging="360"/>
      </w:pPr>
      <w:r>
        <w:rPr>
          <w:rFonts w:ascii="Calibri" w:hAnsi="Calibri"/>
          <w:b/>
          <w:color w:val="525866"/>
          <w:sz w:val="22"/>
        </w:rPr>
        <w:t xml:space="preserve">Aluminum Execution Risk: </w:t>
      </w:r>
      <w:r>
        <w:rPr>
          <w:rFonts w:ascii="Calibri" w:hAnsi="Calibri"/>
          <w:color w:val="525866"/>
          <w:sz w:val="22"/>
        </w:rPr>
        <w:t>The Q2 aluminum ramp is the single biggest swing factor. If shipments come in below the 60,000–70,000 ton guidance range, or if EBITDA is negative rather than positive, the stock could sell off sharply. Customer qualification timelines for automotive CASH lines are the critical path.</w:t>
      </w:r>
    </w:p>
    <w:p>
      <w:pPr>
        <w:pStyle w:val="ListBullet"/>
        <w:ind w:left="360" w:hanging="360"/>
      </w:pPr>
      <w:r>
        <w:rPr>
          <w:rFonts w:ascii="Calibri" w:hAnsi="Calibri"/>
          <w:b/>
          <w:color w:val="525866"/>
          <w:sz w:val="22"/>
        </w:rPr>
        <w:t xml:space="preserve">Scrap Cost Creep: </w:t>
      </w:r>
      <w:r>
        <w:rPr>
          <w:rFonts w:ascii="Calibri" w:hAnsi="Calibri"/>
          <w:color w:val="525866"/>
          <w:sz w:val="22"/>
        </w:rPr>
        <w:t>Consensus assumes scrap at ~$415/ton in Q2 vs. $396 in Q1. If scrap costs surprised further to the upside (CMC noted unexpected strength in Q3 due to war-related fuel costs), metal spreads could compress more than expected.</w:t>
      </w:r>
    </w:p>
    <w:p>
      <w:pPr>
        <w:pStyle w:val="ListBullet"/>
        <w:ind w:left="360" w:hanging="360"/>
      </w:pPr>
      <w:r>
        <w:rPr>
          <w:rFonts w:ascii="Calibri" w:hAnsi="Calibri"/>
          <w:b/>
          <w:color w:val="525866"/>
          <w:sz w:val="22"/>
        </w:rPr>
        <w:t xml:space="preserve">Steel Pricing Sustainability: </w:t>
      </w:r>
      <w:r>
        <w:rPr>
          <w:rFonts w:ascii="Calibri" w:hAnsi="Calibri"/>
          <w:color w:val="525866"/>
          <w:sz w:val="22"/>
        </w:rPr>
        <w:t>HRC prices have rallied sharply from H2 2025 lows. If the rally stalls or reverses in H2 2026 (e.g., due to new domestic capacity additions or demand softening), FY2026 estimates could face downward pressure.</w:t>
      </w:r>
    </w:p>
    <w:p>
      <w:pPr>
        <w:pStyle w:val="ListBullet"/>
        <w:ind w:left="360" w:hanging="360"/>
      </w:pPr>
      <w:r>
        <w:rPr>
          <w:rFonts w:ascii="Calibri" w:hAnsi="Calibri"/>
          <w:b/>
          <w:color w:val="525866"/>
          <w:sz w:val="22"/>
        </w:rPr>
        <w:t xml:space="preserve">Trade Policy Uncertainty: </w:t>
      </w:r>
      <w:r>
        <w:rPr>
          <w:rFonts w:ascii="Calibri" w:hAnsi="Calibri"/>
          <w:color w:val="525866"/>
          <w:sz w:val="22"/>
        </w:rPr>
        <w:t>The Supreme Court has constrained Trump’s ability to implement tariffs via emergency powers. Any weakening of Section 232 or anti-dumping protections could allow import competition to re-enter the market.</w:t>
      </w:r>
    </w:p>
    <w:p>
      <w:pPr>
        <w:pStyle w:val="ListBullet"/>
        <w:ind w:left="360" w:hanging="360"/>
      </w:pPr>
      <w:r>
        <w:rPr>
          <w:rFonts w:ascii="Calibri" w:hAnsi="Calibri"/>
          <w:b/>
          <w:color w:val="525866"/>
          <w:sz w:val="22"/>
        </w:rPr>
        <w:t xml:space="preserve">Fabrication Margin Compression: </w:t>
      </w:r>
      <w:r>
        <w:rPr>
          <w:rFonts w:ascii="Calibri" w:hAnsi="Calibri"/>
          <w:color w:val="525866"/>
          <w:sz w:val="22"/>
        </w:rPr>
        <w:t>Management guided fabrication earnings ‘incrementally below’ Q1 due to higher steel input costs. If steel prices continue to rise faster than fabrication pricing can adjust, margins could compress further.</w:t>
      </w:r>
    </w:p>
    <w:p>
      <w:pPr>
        <w:pStyle w:val="ListBullet"/>
        <w:ind w:left="360" w:hanging="360"/>
      </w:pPr>
      <w:r>
        <w:rPr>
          <w:rFonts w:ascii="Calibri" w:hAnsi="Calibri"/>
          <w:b/>
          <w:color w:val="525866"/>
          <w:sz w:val="22"/>
        </w:rPr>
        <w:t xml:space="preserve">Arizona Slab Center Relocation Execution: </w:t>
      </w:r>
      <w:r>
        <w:rPr>
          <w:rFonts w:ascii="Calibri" w:hAnsi="Calibri"/>
          <w:color w:val="525866"/>
          <w:sz w:val="22"/>
        </w:rPr>
        <w:t>The decision to relocate the second satellite slab center from Arizona to Columbus, MS introduces construction and permitting risk. Any delays could push back the aluminum ramp timeline.</w:t>
      </w:r>
    </w:p>
    <w:p>
      <w:pPr>
        <w:pStyle w:val="ListBullet"/>
        <w:ind w:left="360" w:hanging="360"/>
      </w:pPr>
      <w:r>
        <w:rPr>
          <w:rFonts w:ascii="Calibri" w:hAnsi="Calibri"/>
          <w:b/>
          <w:color w:val="525866"/>
          <w:sz w:val="22"/>
        </w:rPr>
        <w:t xml:space="preserve">BlueScope M&amp;A Optionality: </w:t>
      </w:r>
      <w:r>
        <w:rPr>
          <w:rFonts w:ascii="Calibri" w:hAnsi="Calibri"/>
          <w:color w:val="525866"/>
          <w:sz w:val="22"/>
        </w:rPr>
        <w:t>While the stalled BlueScope pursuit removes near-term M&amp;A risk, STLD has signaled continued M&amp;A appetite. A large, unexpected acquisition could disrupt the capital return narrative.</w:t>
      </w:r>
    </w:p>
    <w:p>
      <w:pPr>
        <w:pStyle w:val="Heading3"/>
      </w:pPr>
      <w:r>
        <w:rPr>
          <w:rFonts w:ascii="Calibri" w:hAnsi="Calibri"/>
          <w:b/>
          <w:color w:val="3B4259"/>
          <w:sz w:val="24"/>
        </w:rPr>
        <w:t>Key Questions for the Call</w:t>
      </w:r>
    </w:p>
    <w:p>
      <w:pPr>
        <w:pStyle w:val="ListNumber"/>
        <w:ind w:left="360" w:hanging="360"/>
      </w:pPr>
      <w:r>
        <w:rPr>
          <w:rFonts w:ascii="Calibri" w:hAnsi="Calibri"/>
          <w:b/>
          <w:color w:val="525866"/>
          <w:sz w:val="22"/>
        </w:rPr>
        <w:t xml:space="preserve">Aluminum EBITDA: </w:t>
      </w:r>
      <w:r>
        <w:rPr>
          <w:rFonts w:ascii="Calibri" w:hAnsi="Calibri"/>
          <w:color w:val="525866"/>
          <w:sz w:val="22"/>
        </w:rPr>
        <w:t>What was the actual Q2 aluminum EBITDA? How does management characterize the trajectory into Q3 and Q4? Is the through-cycle EBITDA target of $650–$700M (plus $40–50M recycling) being revised upward given current market spreads?</w:t>
      </w:r>
    </w:p>
    <w:p>
      <w:pPr>
        <w:pStyle w:val="ListNumber"/>
        <w:ind w:left="360" w:hanging="360"/>
      </w:pPr>
      <w:r>
        <w:rPr>
          <w:rFonts w:ascii="Calibri" w:hAnsi="Calibri"/>
          <w:b/>
          <w:color w:val="525866"/>
          <w:sz w:val="22"/>
        </w:rPr>
        <w:t xml:space="preserve">Automotive Qualifications: </w:t>
      </w:r>
      <w:r>
        <w:rPr>
          <w:rFonts w:ascii="Calibri" w:hAnsi="Calibri"/>
          <w:color w:val="525866"/>
          <w:sz w:val="22"/>
        </w:rPr>
        <w:t>How many automotive customers have accepted qualification material from the first CASH line? What is the timeline for the second CASH line to begin qualifications in Q4, and what does that mean for the 2027 product mix target (45% can sheet / 35% automotive / 20% industrial)?</w:t>
      </w:r>
    </w:p>
    <w:p>
      <w:pPr>
        <w:pStyle w:val="ListNumber"/>
        <w:ind w:left="360" w:hanging="360"/>
      </w:pPr>
      <w:r>
        <w:rPr>
          <w:rFonts w:ascii="Calibri" w:hAnsi="Calibri"/>
          <w:b/>
          <w:color w:val="525866"/>
          <w:sz w:val="22"/>
        </w:rPr>
        <w:t xml:space="preserve">Arizona Relocation: </w:t>
      </w:r>
      <w:r>
        <w:rPr>
          <w:rFonts w:ascii="Calibri" w:hAnsi="Calibri"/>
          <w:color w:val="525866"/>
          <w:sz w:val="22"/>
        </w:rPr>
        <w:t>What is the revised timeline and cost for the Columbus, MS slab center? Does this change the overall aluminum capacity ramp schedule or the 90% utilization exit rate for 2026?</w:t>
      </w:r>
    </w:p>
    <w:p>
      <w:pPr>
        <w:pStyle w:val="ListNumber"/>
        <w:ind w:left="360" w:hanging="360"/>
      </w:pPr>
      <w:r>
        <w:rPr>
          <w:rFonts w:ascii="Calibri" w:hAnsi="Calibri"/>
          <w:b/>
          <w:color w:val="525866"/>
          <w:sz w:val="22"/>
        </w:rPr>
        <w:t xml:space="preserve">Steel Pricing Outlook: </w:t>
      </w:r>
      <w:r>
        <w:rPr>
          <w:rFonts w:ascii="Calibri" w:hAnsi="Calibri"/>
          <w:color w:val="525866"/>
          <w:sz w:val="22"/>
        </w:rPr>
        <w:t>How does management characterize the Q3 steel pricing environment? Are current HRC prices (~$1,000+/ton) sustainable, and what is the order book visibility?</w:t>
      </w:r>
    </w:p>
    <w:p>
      <w:pPr>
        <w:pStyle w:val="ListNumber"/>
        <w:ind w:left="360" w:hanging="360"/>
      </w:pPr>
      <w:r>
        <w:rPr>
          <w:rFonts w:ascii="Calibri" w:hAnsi="Calibri"/>
          <w:b/>
          <w:color w:val="525866"/>
          <w:sz w:val="22"/>
        </w:rPr>
        <w:t xml:space="preserve">Capital Allocation: </w:t>
      </w:r>
      <w:r>
        <w:rPr>
          <w:rFonts w:ascii="Calibri" w:hAnsi="Calibri"/>
          <w:color w:val="525866"/>
          <w:sz w:val="22"/>
        </w:rPr>
        <w:t>With $170M in buybacks already completed in Q2, what is the pace of repurchases going forward? Is the company considering any M&amp;A given the stalled BlueScope situation?</w:t>
      </w:r>
    </w:p>
    <w:p>
      <w:pPr>
        <w:pStyle w:val="ListNumber"/>
        <w:ind w:left="360" w:hanging="360"/>
      </w:pPr>
      <w:r>
        <w:rPr>
          <w:rFonts w:ascii="Calibri" w:hAnsi="Calibri"/>
          <w:b/>
          <w:color w:val="525866"/>
          <w:sz w:val="22"/>
        </w:rPr>
        <w:t xml:space="preserve">Fabrication Backlog: </w:t>
      </w:r>
      <w:r>
        <w:rPr>
          <w:rFonts w:ascii="Calibri" w:hAnsi="Calibri"/>
          <w:color w:val="525866"/>
          <w:sz w:val="22"/>
        </w:rPr>
        <w:t>The backlog is now ~40% above year-ago and extends through end of 2026 and into 2027. What end markets are driving the incremental strength (data centers, manufacturing, healthcare)? Is there any pricing power in the backlog?</w:t>
      </w:r>
    </w:p>
    <w:p>
      <w:pPr>
        <w:pStyle w:val="ListNumber"/>
        <w:ind w:left="360" w:hanging="360"/>
      </w:pPr>
      <w:r>
        <w:rPr>
          <w:rFonts w:ascii="Calibri" w:hAnsi="Calibri"/>
          <w:b/>
          <w:color w:val="525866"/>
          <w:sz w:val="22"/>
        </w:rPr>
        <w:t xml:space="preserve">Scrap Cost Outlook: </w:t>
      </w:r>
      <w:r>
        <w:rPr>
          <w:rFonts w:ascii="Calibri" w:hAnsi="Calibri"/>
          <w:color w:val="525866"/>
          <w:sz w:val="22"/>
        </w:rPr>
        <w:t>How does management view scrap costs in Q3? Are there any supply disruptions or seasonal factors that could push costs above the $415/ton Q2 consensus?</w:t>
      </w:r>
    </w:p>
    <w:sectPr w:rsidR="00FC693F" w:rsidRPr="0006063C" w:rsidSect="00034616">
      <w:headerReference w:type="default" r:id="rId9"/>
      <w:footerReference w:type="default" r:id="rId10"/>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rPr>
      <w:rFonts w:ascii="Calibri" w:hAnsi="Calibri"/>
      <w:sz w:val="22"/>
    </w:r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