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Bdr>
          <w:bottom w:val="single" w:sz="4" w:space="1" w:color="FB9120"/>
        </w:pBdr>
      </w:pPr>
      <w:r>
        <w:rPr>
          <w:rFonts w:ascii="Calibri" w:hAnsi="Calibri"/>
          <w:b/>
          <w:color w:val="3B4259"/>
          <w:sz w:val="40"/>
        </w:rPr>
        <w:t>Steel Dynamics, Inc. (STLD) — Q2 2026 Earnings Preview</w:t>
      </w:r>
    </w:p>
    <w:tbl>
      <w:tblPr>
        <w:tblStyle w:val="TableGrid"/>
        <w:tblW w:type="auto" w:w="0"/>
        <w:tblLook w:firstColumn="1" w:firstRow="1" w:lastColumn="0" w:lastRow="0" w:noHBand="0" w:noVBand="1" w:val="04A0"/>
      </w:tblPr>
      <w:tblGrid>
        <w:gridCol w:w="4320"/>
        <w:gridCol w:w="4320"/>
      </w:tblGrid>
      <w:tr>
        <w:tc>
          <w:tcPr>
            <w:tcW w:type="dxa" w:w="4320"/>
          </w:tcPr>
          <w:p>
            <w:r>
              <w:rPr>
                <w:rFonts w:ascii="Calibri" w:hAnsi="Calibri"/>
                <w:b/>
                <w:sz w:val="22"/>
              </w:rPr>
              <w:t>Company</w:t>
            </w:r>
          </w:p>
        </w:tc>
        <w:tc>
          <w:tcPr>
            <w:tcW w:type="dxa" w:w="4320"/>
          </w:tcPr>
          <w:p>
            <w:r>
              <w:rPr>
                <w:rFonts w:ascii="Calibri" w:hAnsi="Calibri"/>
                <w:sz w:val="22"/>
              </w:rPr>
              <w:t>Steel Dynamics, Inc.</w:t>
            </w:r>
          </w:p>
        </w:tc>
      </w:tr>
      <w:tr>
        <w:tc>
          <w:tcPr>
            <w:tcW w:type="dxa" w:w="4320"/>
          </w:tcPr>
          <w:p>
            <w:r>
              <w:rPr>
                <w:rFonts w:ascii="Calibri" w:hAnsi="Calibri"/>
                <w:b/>
                <w:sz w:val="22"/>
              </w:rPr>
              <w:t>Ticker</w:t>
            </w:r>
          </w:p>
        </w:tc>
        <w:tc>
          <w:tcPr>
            <w:tcW w:type="dxa" w:w="4320"/>
          </w:tcPr>
          <w:p>
            <w:r>
              <w:rPr>
                <w:rFonts w:ascii="Calibri" w:hAnsi="Calibri"/>
                <w:sz w:val="22"/>
              </w:rPr>
              <w:t>NASDAQ: STLD</w:t>
            </w:r>
          </w:p>
        </w:tc>
      </w:tr>
      <w:tr>
        <w:tc>
          <w:tcPr>
            <w:tcW w:type="dxa" w:w="4320"/>
          </w:tcPr>
          <w:p>
            <w:r>
              <w:rPr>
                <w:rFonts w:ascii="Calibri" w:hAnsi="Calibri"/>
                <w:b/>
                <w:sz w:val="22"/>
              </w:rPr>
              <w:t>Reporting Period</w:t>
            </w:r>
          </w:p>
        </w:tc>
        <w:tc>
          <w:tcPr>
            <w:tcW w:type="dxa" w:w="4320"/>
          </w:tcPr>
          <w:p>
            <w:r>
              <w:rPr>
                <w:rFonts w:ascii="Calibri" w:hAnsi="Calibri"/>
                <w:sz w:val="22"/>
              </w:rPr>
              <w:t>Q2 2026 (quarter ended June 30, 2026)</w:t>
            </w:r>
          </w:p>
        </w:tc>
      </w:tr>
      <w:tr>
        <w:tc>
          <w:tcPr>
            <w:tcW w:type="dxa" w:w="4320"/>
          </w:tcPr>
          <w:p>
            <w:r>
              <w:rPr>
                <w:rFonts w:ascii="Calibri" w:hAnsi="Calibri"/>
                <w:b/>
                <w:sz w:val="22"/>
              </w:rPr>
              <w:t>Earnings Release</w:t>
            </w:r>
          </w:p>
        </w:tc>
        <w:tc>
          <w:tcPr>
            <w:tcW w:type="dxa" w:w="4320"/>
          </w:tcPr>
          <w:p>
            <w:r>
              <w:rPr>
                <w:rFonts w:ascii="Calibri" w:hAnsi="Calibri"/>
                <w:sz w:val="22"/>
              </w:rPr>
              <w:t>July 20, 2026 (after market close)</w:t>
            </w:r>
          </w:p>
        </w:tc>
      </w:tr>
      <w:tr>
        <w:tc>
          <w:tcPr>
            <w:tcW w:type="dxa" w:w="4320"/>
          </w:tcPr>
          <w:p>
            <w:r>
              <w:rPr>
                <w:rFonts w:ascii="Calibri" w:hAnsi="Calibri"/>
                <w:b/>
                <w:sz w:val="22"/>
              </w:rPr>
              <w:t>Conference Call</w:t>
            </w:r>
          </w:p>
        </w:tc>
        <w:tc>
          <w:tcPr>
            <w:tcW w:type="dxa" w:w="4320"/>
          </w:tcPr>
          <w:p>
            <w:r>
              <w:rPr>
                <w:rFonts w:ascii="Calibri" w:hAnsi="Calibri"/>
                <w:sz w:val="22"/>
              </w:rPr>
              <w:t>July 21, 2026 at 11:00 AM ET</w:t>
            </w:r>
          </w:p>
        </w:tc>
      </w:tr>
      <w:tr>
        <w:tc>
          <w:tcPr>
            <w:tcW w:type="dxa" w:w="4320"/>
          </w:tcPr>
          <w:p>
            <w:r>
              <w:rPr>
                <w:rFonts w:ascii="Calibri" w:hAnsi="Calibri"/>
                <w:b/>
                <w:sz w:val="22"/>
              </w:rPr>
              <w:t>Prepared Date</w:t>
            </w:r>
          </w:p>
        </w:tc>
        <w:tc>
          <w:tcPr>
            <w:tcW w:type="dxa" w:w="4320"/>
          </w:tcPr>
          <w:p>
            <w:r>
              <w:rPr>
                <w:rFonts w:ascii="Calibri" w:hAnsi="Calibri"/>
                <w:sz w:val="22"/>
              </w:rPr>
              <w:t>July 19, 2026</w:t>
            </w:r>
          </w:p>
        </w:tc>
      </w:tr>
    </w:tbl>
    <w:p>
      <w:pPr>
        <w:pStyle w:val="Heading2"/>
      </w:pPr>
      <w:r>
        <w:rPr>
          <w:rFonts w:ascii="Calibri" w:hAnsi="Calibri"/>
          <w:b/>
          <w:color w:val="3B4259"/>
          <w:sz w:val="28"/>
        </w:rPr>
        <w:t>1. Earnings Preview</w:t>
      </w:r>
    </w:p>
    <w:p>
      <w:r>
        <w:rPr>
          <w:rFonts w:ascii="Calibri" w:hAnsi="Calibri"/>
          <w:b/>
          <w:color w:val="525866"/>
          <w:sz w:val="22"/>
        </w:rPr>
        <w:t xml:space="preserve">Key Takeaway: </w:t>
      </w:r>
      <w:r>
        <w:rPr>
          <w:rFonts w:ascii="Calibri" w:hAnsi="Calibri"/>
          <w:color w:val="525866"/>
          <w:sz w:val="22"/>
        </w:rPr>
        <w:t>The setup into Q2 2026 is constructive — management's own guidance of $3.51–$3.55 EPS sits well below current consensus of ~$3.64, and the steel market backdrop (strong demand, metal margin expansion, low inventories) has only improved since the June 17 guidance update; the biggest swing factor is how fast the aluminum ramp translates into EBITDA.</w:t>
      </w:r>
    </w:p>
    <w:p>
      <w:r>
        <w:rPr>
          <w:rFonts w:ascii="Calibri" w:hAnsi="Calibri"/>
          <w:color w:val="525866"/>
          <w:sz w:val="22"/>
        </w:rPr>
        <w:t xml:space="preserve">Heading into the Q2 2026 print, Steel Dynamics is positioned for a meaningful sequential earnings recovery after a Q1 that was clouded by the aluminum quality setback. Management's June 17 guidance of $3.51–$3.55 per diluted share (which already embeds a $16 million write-down from the Arizona satellite facility relocation) implies roughly 27–28% sequential EPS growth from Q1's $2.78, and the bar looks achievable given the tailwinds in place. </w:t>
      </w:r>
      <w:r>
        <w:rPr>
          <w:rFonts w:ascii="Calibri" w:hAnsi="Calibri"/>
          <w:b/>
          <w:color w:val="525866"/>
          <w:sz w:val="22"/>
        </w:rPr>
        <w:t>Steel operations are the clear driver</w:t>
      </w:r>
      <w:r>
        <w:rPr>
          <w:rFonts w:ascii="Calibri" w:hAnsi="Calibri"/>
          <w:color w:val="525866"/>
          <w:sz w:val="22"/>
        </w:rPr>
        <w:t xml:space="preserve">: management explicitly guided for "meaningfully higher" steel profitability on the back of metal margin expansion — average realized steel prices are tracking well above Q1 levels (HRC was over $1,000/ton at the time of Q1 earnings and has remained elevated), while scrap costs have been relatively stable, a combination that should push steel EBITDA toward the ~$896M consensus estimate. The </w:t>
      </w:r>
      <w:r>
        <w:rPr>
          <w:rFonts w:ascii="Calibri" w:hAnsi="Calibri"/>
          <w:b/>
          <w:color w:val="525866"/>
          <w:sz w:val="22"/>
        </w:rPr>
        <w:t>aluminum ramp is the key wildcard</w:t>
      </w:r>
      <w:r>
        <w:rPr>
          <w:rFonts w:ascii="Calibri" w:hAnsi="Calibri"/>
          <w:color w:val="525866"/>
          <w:sz w:val="22"/>
        </w:rPr>
        <w:t>: Q2 shipments were guided to 60,000–70,000 tons (vs. 22,000 in Q1), two of three cold mills are operational, and the first CASH line is shipping automotive qualification material — if aluminum EBITDA inflects meaningfully positive (consensus is only ~$7M), there is upside to the headline number. Estimate revisions have moved sharply higher since Q1 earnings — the FY2026 EPS consensus has risen from ~$15.05 to ~$16.48 — suggesting the Street is already pricing in a strong quarter, though the stock has pulled back ~15% from its June 12 peak of $282.76 to ~$235, offering a more balanced risk/reward. The one thing that could most surprise the market in either direction is the aluminum EBITDA trajectory: a beat on shipments and/or a positive revision to through-cycle EBITDA targets (which management signaled may be coming) would be a meaningful positive catalyst, while any further operational disruption at Columbus would reset the narrative.</w:t>
      </w:r>
    </w:p>
    <w:p>
      <w:r>
        <w:br w:type="page"/>
      </w:r>
    </w:p>
    <w:p>
      <w:pPr>
        <w:pStyle w:val="Heading2"/>
      </w:pPr>
      <w:r>
        <w:rPr>
          <w:rFonts w:ascii="Calibri" w:hAnsi="Calibri"/>
          <w:b/>
          <w:color w:val="3B4259"/>
          <w:sz w:val="28"/>
        </w:rPr>
        <w:t>2. KPIs &amp; Consensus Expectations</w:t>
      </w:r>
    </w:p>
    <w:p>
      <w:r>
        <w:rPr>
          <w:rFonts w:ascii="Calibri" w:hAnsi="Calibri"/>
          <w:b/>
          <w:color w:val="525866"/>
          <w:sz w:val="22"/>
        </w:rPr>
        <w:t xml:space="preserve">Key Takeaway: </w:t>
      </w:r>
      <w:r>
        <w:rPr>
          <w:rFonts w:ascii="Calibri" w:hAnsi="Calibri"/>
          <w:color w:val="525866"/>
          <w:sz w:val="22"/>
        </w:rPr>
        <w:t xml:space="preserve">Consensus at ~$3.64 EPS sits modestly above management's $3.51–$3.55 guidance midpoint, making the bar achievable but not low; </w:t>
      </w:r>
      <w:r>
        <w:rPr>
          <w:rFonts w:ascii="Calibri" w:hAnsi="Calibri"/>
          <w:b/>
          <w:color w:val="525866"/>
          <w:sz w:val="22"/>
        </w:rPr>
        <w:t>aluminum EBITDA is the bigger swing factor</w:t>
      </w:r>
      <w:r>
        <w:rPr>
          <w:rFonts w:ascii="Calibri" w:hAnsi="Calibri"/>
          <w:color w:val="525866"/>
          <w:sz w:val="22"/>
        </w:rPr>
        <w:t xml:space="preserve"> — consensus expects only ~$7M vs. a potential step-change if the ramp accelerates, while steel EBITDA at ~$896M is the anchor of the bull case.</w:t>
      </w:r>
    </w:p>
    <w:p>
      <w:pPr>
        <w:pStyle w:val="Heading3"/>
      </w:pPr>
      <w:r>
        <w:rPr>
          <w:rFonts w:ascii="Calibri" w:hAnsi="Calibri"/>
          <w:b/>
          <w:color w:val="3B4259"/>
          <w:sz w:val="24"/>
        </w:rPr>
        <w:t>Table 1 — Q2 2026 Current Quarter Snapshot</w:t>
      </w:r>
    </w:p>
    <w:tbl>
      <w:tblPr>
        <w:tblStyle w:val="TableGrid"/>
        <w:tblW w:type="auto" w:w="0"/>
        <w:tblLook w:firstColumn="1" w:firstRow="1" w:lastColumn="0" w:lastRow="0" w:noHBand="0" w:noVBand="1" w:val="04A0"/>
      </w:tblPr>
      <w:tblGrid>
        <w:gridCol w:w="1234"/>
        <w:gridCol w:w="1234"/>
        <w:gridCol w:w="1234"/>
        <w:gridCol w:w="1234"/>
        <w:gridCol w:w="1234"/>
        <w:gridCol w:w="1234"/>
        <w:gridCol w:w="1234"/>
      </w:tblGrid>
      <w:tr>
        <w:tc>
          <w:tcPr>
            <w:tcW w:type="dxa" w:w="1234"/>
            <w:shd w:val="clear" w:color="auto" w:fill="3B4259"/>
          </w:tcPr>
          <w:p>
            <w:r>
              <w:rPr>
                <w:rFonts w:ascii="Calibri" w:hAnsi="Calibri"/>
                <w:b/>
                <w:color w:val="FFFFFF"/>
                <w:sz w:val="22"/>
              </w:rPr>
              <w:t>KPI</w:t>
            </w:r>
          </w:p>
        </w:tc>
        <w:tc>
          <w:tcPr>
            <w:tcW w:type="dxa" w:w="1234"/>
            <w:shd w:val="clear" w:color="auto" w:fill="3B4259"/>
          </w:tcPr>
          <w:p>
            <w:r>
              <w:rPr>
                <w:rFonts w:ascii="Calibri" w:hAnsi="Calibri"/>
                <w:b/>
                <w:color w:val="FFFFFF"/>
                <w:sz w:val="22"/>
              </w:rPr>
              <w:t>Q1 2026 Actual</w:t>
            </w:r>
          </w:p>
        </w:tc>
        <w:tc>
          <w:tcPr>
            <w:tcW w:type="dxa" w:w="1234"/>
            <w:shd w:val="clear" w:color="auto" w:fill="3B4259"/>
          </w:tcPr>
          <w:p>
            <w:r>
              <w:rPr>
                <w:rFonts w:ascii="Calibri" w:hAnsi="Calibri"/>
                <w:b/>
                <w:color w:val="FFFFFF"/>
                <w:sz w:val="22"/>
              </w:rPr>
              <w:t>Q2 2025 Actual (Prior Year)</w:t>
            </w:r>
          </w:p>
        </w:tc>
        <w:tc>
          <w:tcPr>
            <w:tcW w:type="dxa" w:w="1234"/>
            <w:shd w:val="clear" w:color="auto" w:fill="3B4259"/>
          </w:tcPr>
          <w:p>
            <w:r>
              <w:rPr>
                <w:rFonts w:ascii="Calibri" w:hAnsi="Calibri"/>
                <w:b/>
                <w:color w:val="FFFFFF"/>
                <w:sz w:val="22"/>
              </w:rPr>
              <w:t>Q2 2026 Consensus Estimate</w:t>
            </w:r>
          </w:p>
        </w:tc>
        <w:tc>
          <w:tcPr>
            <w:tcW w:type="dxa" w:w="1234"/>
            <w:shd w:val="clear" w:color="auto" w:fill="3B4259"/>
          </w:tcPr>
          <w:p>
            <w:r>
              <w:rPr>
                <w:rFonts w:ascii="Calibri" w:hAnsi="Calibri"/>
                <w:b/>
                <w:color w:val="FFFFFF"/>
                <w:sz w:val="22"/>
              </w:rPr>
              <w:t>YoY Change</w:t>
            </w:r>
          </w:p>
        </w:tc>
        <w:tc>
          <w:tcPr>
            <w:tcW w:type="dxa" w:w="1234"/>
            <w:shd w:val="clear" w:color="auto" w:fill="3B4259"/>
          </w:tcPr>
          <w:p>
            <w:r>
              <w:rPr>
                <w:rFonts w:ascii="Calibri" w:hAnsi="Calibri"/>
                <w:b/>
                <w:color w:val="FFFFFF"/>
                <w:sz w:val="22"/>
              </w:rPr>
              <w:t>Mgmt Guidance</w:t>
            </w:r>
          </w:p>
        </w:tc>
        <w:tc>
          <w:tcPr>
            <w:tcW w:type="dxa" w:w="1234"/>
            <w:shd w:val="clear" w:color="auto" w:fill="3B4259"/>
          </w:tcPr>
          <w:p>
            <w:r>
              <w:rPr>
                <w:rFonts w:ascii="Calibri" w:hAnsi="Calibri"/>
                <w:b/>
                <w:color w:val="FFFFFF"/>
                <w:sz w:val="22"/>
              </w:rPr>
              <w:t>Cons vs. Guidance (% delta)</w:t>
            </w:r>
          </w:p>
        </w:tc>
      </w:tr>
      <w:tr>
        <w:tc>
          <w:tcPr>
            <w:tcW w:type="dxa" w:w="1234"/>
          </w:tcPr>
          <w:p>
            <w:r>
              <w:rPr>
                <w:rFonts w:ascii="Calibri" w:hAnsi="Calibri"/>
                <w:sz w:val="22"/>
              </w:rPr>
              <w:t>EPS — Diluted Operating ($)</w:t>
            </w:r>
          </w:p>
        </w:tc>
        <w:tc>
          <w:tcPr>
            <w:tcW w:type="dxa" w:w="1234"/>
          </w:tcPr>
          <w:p>
            <w:r>
              <w:rPr>
                <w:rFonts w:ascii="Calibri" w:hAnsi="Calibri"/>
                <w:sz w:val="22"/>
              </w:rPr>
              <w:t>$2.78</w:t>
            </w:r>
          </w:p>
        </w:tc>
        <w:tc>
          <w:tcPr>
            <w:tcW w:type="dxa" w:w="1234"/>
          </w:tcPr>
          <w:p>
            <w:r>
              <w:rPr>
                <w:rFonts w:ascii="Calibri" w:hAnsi="Calibri"/>
                <w:sz w:val="22"/>
              </w:rPr>
              <w:t>$2.01</w:t>
            </w:r>
          </w:p>
        </w:tc>
        <w:tc>
          <w:tcPr>
            <w:tcW w:type="dxa" w:w="1234"/>
          </w:tcPr>
          <w:p>
            <w:r>
              <w:rPr>
                <w:rFonts w:ascii="Calibri" w:hAnsi="Calibri"/>
                <w:sz w:val="22"/>
              </w:rPr>
              <w:t>$3.64</w:t>
            </w:r>
          </w:p>
        </w:tc>
        <w:tc>
          <w:tcPr>
            <w:tcW w:type="dxa" w:w="1234"/>
          </w:tcPr>
          <w:p>
            <w:r>
              <w:rPr>
                <w:rFonts w:ascii="Calibri" w:hAnsi="Calibri"/>
                <w:sz w:val="22"/>
              </w:rPr>
              <w:t>+81% YoY</w:t>
            </w:r>
          </w:p>
        </w:tc>
        <w:tc>
          <w:tcPr>
            <w:tcW w:type="dxa" w:w="1234"/>
          </w:tcPr>
          <w:p>
            <w:r>
              <w:rPr>
                <w:rFonts w:ascii="Calibri" w:hAnsi="Calibri"/>
                <w:sz w:val="22"/>
              </w:rPr>
              <w:t>$3.51–$3.55</w:t>
            </w:r>
          </w:p>
        </w:tc>
        <w:tc>
          <w:tcPr>
            <w:tcW w:type="dxa" w:w="1234"/>
          </w:tcPr>
          <w:p>
            <w:r>
              <w:rPr>
                <w:rFonts w:ascii="Calibri" w:hAnsi="Calibri"/>
                <w:sz w:val="22"/>
              </w:rPr>
              <w:t>+2.5% above midpoint</w:t>
            </w:r>
          </w:p>
        </w:tc>
      </w:tr>
      <w:tr>
        <w:tc>
          <w:tcPr>
            <w:tcW w:type="dxa" w:w="1234"/>
          </w:tcPr>
          <w:p>
            <w:r>
              <w:rPr>
                <w:rFonts w:ascii="Calibri" w:hAnsi="Calibri"/>
                <w:sz w:val="22"/>
              </w:rPr>
              <w:t>Net Sales ($B)</w:t>
            </w:r>
          </w:p>
        </w:tc>
        <w:tc>
          <w:tcPr>
            <w:tcW w:type="dxa" w:w="1234"/>
          </w:tcPr>
          <w:p>
            <w:r>
              <w:rPr>
                <w:rFonts w:ascii="Calibri" w:hAnsi="Calibri"/>
                <w:sz w:val="22"/>
              </w:rPr>
              <w:t>$5.20B</w:t>
            </w:r>
          </w:p>
        </w:tc>
        <w:tc>
          <w:tcPr>
            <w:tcW w:type="dxa" w:w="1234"/>
          </w:tcPr>
          <w:p>
            <w:r>
              <w:rPr>
                <w:rFonts w:ascii="Calibri" w:hAnsi="Calibri"/>
                <w:sz w:val="22"/>
              </w:rPr>
              <w:t>$4.57B</w:t>
            </w:r>
          </w:p>
        </w:tc>
        <w:tc>
          <w:tcPr>
            <w:tcW w:type="dxa" w:w="1234"/>
          </w:tcPr>
          <w:p>
            <w:r>
              <w:rPr>
                <w:rFonts w:ascii="Calibri" w:hAnsi="Calibri"/>
                <w:sz w:val="22"/>
              </w:rPr>
              <w:t>$5.65B</w:t>
            </w:r>
          </w:p>
        </w:tc>
        <w:tc>
          <w:tcPr>
            <w:tcW w:type="dxa" w:w="1234"/>
          </w:tcPr>
          <w:p>
            <w:r>
              <w:rPr>
                <w:rFonts w:ascii="Calibri" w:hAnsi="Calibri"/>
                <w:sz w:val="22"/>
              </w:rPr>
              <w:t>+23.7% YoY</w:t>
            </w:r>
          </w:p>
        </w:tc>
        <w:tc>
          <w:tcPr>
            <w:tcW w:type="dxa" w:w="1234"/>
          </w:tcPr>
          <w:p>
            <w:r>
              <w:rPr>
                <w:rFonts w:ascii="Calibri" w:hAnsi="Calibri"/>
                <w:sz w:val="22"/>
              </w:rPr>
              <w:t>N/A — not provided</w:t>
            </w:r>
          </w:p>
        </w:tc>
        <w:tc>
          <w:tcPr>
            <w:tcW w:type="dxa" w:w="1234"/>
          </w:tcPr>
          <w:p>
            <w:r>
              <w:rPr>
                <w:rFonts w:ascii="Calibri" w:hAnsi="Calibri"/>
                <w:sz w:val="22"/>
              </w:rPr>
              <w:t>N/A</w:t>
            </w:r>
          </w:p>
        </w:tc>
      </w:tr>
      <w:tr>
        <w:tc>
          <w:tcPr>
            <w:tcW w:type="dxa" w:w="1234"/>
          </w:tcPr>
          <w:p>
            <w:r>
              <w:rPr>
                <w:rFonts w:ascii="Calibri" w:hAnsi="Calibri"/>
                <w:sz w:val="22"/>
              </w:rPr>
              <w:t>EBITDA ($M)</w:t>
            </w:r>
          </w:p>
        </w:tc>
        <w:tc>
          <w:tcPr>
            <w:tcW w:type="dxa" w:w="1234"/>
          </w:tcPr>
          <w:p>
            <w:r>
              <w:rPr>
                <w:rFonts w:ascii="Calibri" w:hAnsi="Calibri"/>
                <w:sz w:val="22"/>
              </w:rPr>
              <w:t>$697M</w:t>
            </w:r>
          </w:p>
        </w:tc>
        <w:tc>
          <w:tcPr>
            <w:tcW w:type="dxa" w:w="1234"/>
          </w:tcPr>
          <w:p>
            <w:r>
              <w:rPr>
                <w:rFonts w:ascii="Calibri" w:hAnsi="Calibri"/>
                <w:sz w:val="22"/>
              </w:rPr>
              <w:t>$516M</w:t>
            </w:r>
          </w:p>
        </w:tc>
        <w:tc>
          <w:tcPr>
            <w:tcW w:type="dxa" w:w="1234"/>
          </w:tcPr>
          <w:p>
            <w:r>
              <w:rPr>
                <w:rFonts w:ascii="Calibri" w:hAnsi="Calibri"/>
                <w:sz w:val="22"/>
              </w:rPr>
              <w:t>$875M</w:t>
            </w:r>
          </w:p>
        </w:tc>
        <w:tc>
          <w:tcPr>
            <w:tcW w:type="dxa" w:w="1234"/>
          </w:tcPr>
          <w:p>
            <w:r>
              <w:rPr>
                <w:rFonts w:ascii="Calibri" w:hAnsi="Calibri"/>
                <w:sz w:val="22"/>
              </w:rPr>
              <w:t>+69.6% YoY</w:t>
            </w:r>
          </w:p>
        </w:tc>
        <w:tc>
          <w:tcPr>
            <w:tcW w:type="dxa" w:w="1234"/>
          </w:tcPr>
          <w:p>
            <w:r>
              <w:rPr>
                <w:rFonts w:ascii="Calibri" w:hAnsi="Calibri"/>
                <w:sz w:val="22"/>
              </w:rPr>
              <w:t>N/A — not provided</w:t>
            </w:r>
          </w:p>
        </w:tc>
        <w:tc>
          <w:tcPr>
            <w:tcW w:type="dxa" w:w="1234"/>
          </w:tcPr>
          <w:p>
            <w:r>
              <w:rPr>
                <w:rFonts w:ascii="Calibri" w:hAnsi="Calibri"/>
                <w:sz w:val="22"/>
              </w:rPr>
              <w:t>N/A</w:t>
            </w:r>
          </w:p>
        </w:tc>
      </w:tr>
      <w:tr>
        <w:tc>
          <w:tcPr>
            <w:tcW w:type="dxa" w:w="1234"/>
          </w:tcPr>
          <w:p>
            <w:r>
              <w:rPr>
                <w:rFonts w:ascii="Calibri" w:hAnsi="Calibri"/>
                <w:sz w:val="22"/>
              </w:rPr>
              <w:t>EBITDA — Steel ($M)</w:t>
            </w:r>
          </w:p>
        </w:tc>
        <w:tc>
          <w:tcPr>
            <w:tcW w:type="dxa" w:w="1234"/>
          </w:tcPr>
          <w:p>
            <w:r>
              <w:rPr>
                <w:rFonts w:ascii="Calibri" w:hAnsi="Calibri"/>
                <w:sz w:val="22"/>
              </w:rPr>
              <w:t>$756M</w:t>
            </w:r>
          </w:p>
        </w:tc>
        <w:tc>
          <w:tcPr>
            <w:tcW w:type="dxa" w:w="1234"/>
          </w:tcPr>
          <w:p>
            <w:r>
              <w:rPr>
                <w:rFonts w:ascii="Calibri" w:hAnsi="Calibri"/>
                <w:sz w:val="22"/>
              </w:rPr>
              <w:t>$576M</w:t>
            </w:r>
          </w:p>
        </w:tc>
        <w:tc>
          <w:tcPr>
            <w:tcW w:type="dxa" w:w="1234"/>
          </w:tcPr>
          <w:p>
            <w:r>
              <w:rPr>
                <w:rFonts w:ascii="Calibri" w:hAnsi="Calibri"/>
                <w:sz w:val="22"/>
              </w:rPr>
              <w:t>$896M</w:t>
            </w:r>
          </w:p>
        </w:tc>
        <w:tc>
          <w:tcPr>
            <w:tcW w:type="dxa" w:w="1234"/>
          </w:tcPr>
          <w:p>
            <w:r>
              <w:rPr>
                <w:rFonts w:ascii="Calibri" w:hAnsi="Calibri"/>
                <w:sz w:val="22"/>
              </w:rPr>
              <w:t>+55.5% YoY</w:t>
            </w:r>
          </w:p>
        </w:tc>
        <w:tc>
          <w:tcPr>
            <w:tcW w:type="dxa" w:w="1234"/>
          </w:tcPr>
          <w:p>
            <w:r>
              <w:rPr>
                <w:rFonts w:ascii="Calibri" w:hAnsi="Calibri"/>
                <w:sz w:val="22"/>
              </w:rPr>
              <w:t>Meaningfully higher QoQ</w:t>
            </w:r>
          </w:p>
        </w:tc>
        <w:tc>
          <w:tcPr>
            <w:tcW w:type="dxa" w:w="1234"/>
          </w:tcPr>
          <w:p>
            <w:r>
              <w:rPr>
                <w:rFonts w:ascii="Calibri" w:hAnsi="Calibri"/>
                <w:sz w:val="22"/>
              </w:rPr>
              <w:t>N/A (directional only)</w:t>
            </w:r>
          </w:p>
        </w:tc>
      </w:tr>
      <w:tr>
        <w:tc>
          <w:tcPr>
            <w:tcW w:type="dxa" w:w="1234"/>
          </w:tcPr>
          <w:p>
            <w:r>
              <w:rPr>
                <w:rFonts w:ascii="Calibri" w:hAnsi="Calibri"/>
                <w:sz w:val="22"/>
              </w:rPr>
              <w:t>EBITDA — Aluminum ($M)</w:t>
            </w:r>
          </w:p>
        </w:tc>
        <w:tc>
          <w:tcPr>
            <w:tcW w:type="dxa" w:w="1234"/>
          </w:tcPr>
          <w:p>
            <w:r>
              <w:rPr>
                <w:rFonts w:ascii="Calibri" w:hAnsi="Calibri"/>
                <w:sz w:val="22"/>
              </w:rPr>
              <w:t>($45M)</w:t>
            </w:r>
          </w:p>
        </w:tc>
        <w:tc>
          <w:tcPr>
            <w:tcW w:type="dxa" w:w="1234"/>
          </w:tcPr>
          <w:p>
            <w:r>
              <w:rPr>
                <w:rFonts w:ascii="Calibri" w:hAnsi="Calibri"/>
                <w:sz w:val="22"/>
              </w:rPr>
              <w:t>($38M)</w:t>
            </w:r>
          </w:p>
        </w:tc>
        <w:tc>
          <w:tcPr>
            <w:tcW w:type="dxa" w:w="1234"/>
          </w:tcPr>
          <w:p>
            <w:r>
              <w:rPr>
                <w:rFonts w:ascii="Calibri" w:hAnsi="Calibri"/>
                <w:sz w:val="22"/>
              </w:rPr>
              <w:t>$7M</w:t>
            </w:r>
          </w:p>
        </w:tc>
        <w:tc>
          <w:tcPr>
            <w:tcW w:type="dxa" w:w="1234"/>
          </w:tcPr>
          <w:p>
            <w:r>
              <w:rPr>
                <w:rFonts w:ascii="Calibri" w:hAnsi="Calibri"/>
                <w:sz w:val="22"/>
              </w:rPr>
              <w:t>N/M (loss to profit)</w:t>
            </w:r>
          </w:p>
        </w:tc>
        <w:tc>
          <w:tcPr>
            <w:tcW w:type="dxa" w:w="1234"/>
          </w:tcPr>
          <w:p>
            <w:r>
              <w:rPr>
                <w:rFonts w:ascii="Calibri" w:hAnsi="Calibri"/>
                <w:sz w:val="22"/>
              </w:rPr>
              <w:t>Significant improvement QoQ</w:t>
            </w:r>
          </w:p>
        </w:tc>
        <w:tc>
          <w:tcPr>
            <w:tcW w:type="dxa" w:w="1234"/>
          </w:tcPr>
          <w:p>
            <w:r>
              <w:rPr>
                <w:rFonts w:ascii="Calibri" w:hAnsi="Calibri"/>
                <w:sz w:val="22"/>
              </w:rPr>
              <w:t>N/A (directional only)</w:t>
            </w:r>
          </w:p>
        </w:tc>
      </w:tr>
      <w:tr>
        <w:tc>
          <w:tcPr>
            <w:tcW w:type="dxa" w:w="1234"/>
          </w:tcPr>
          <w:p>
            <w:r>
              <w:rPr>
                <w:rFonts w:ascii="Calibri" w:hAnsi="Calibri"/>
                <w:sz w:val="22"/>
              </w:rPr>
              <w:t>Steel Shipments — Ops (KTons)</w:t>
            </w:r>
          </w:p>
        </w:tc>
        <w:tc>
          <w:tcPr>
            <w:tcW w:type="dxa" w:w="1234"/>
          </w:tcPr>
          <w:p>
            <w:r>
              <w:rPr>
                <w:rFonts w:ascii="Calibri" w:hAnsi="Calibri"/>
                <w:sz w:val="22"/>
              </w:rPr>
              <w:t>3,639 KT</w:t>
            </w:r>
          </w:p>
        </w:tc>
        <w:tc>
          <w:tcPr>
            <w:tcW w:type="dxa" w:w="1234"/>
          </w:tcPr>
          <w:p>
            <w:r>
              <w:rPr>
                <w:rFonts w:ascii="Calibri" w:hAnsi="Calibri"/>
                <w:sz w:val="22"/>
              </w:rPr>
              <w:t>3,350 KT</w:t>
            </w:r>
          </w:p>
        </w:tc>
        <w:tc>
          <w:tcPr>
            <w:tcW w:type="dxa" w:w="1234"/>
          </w:tcPr>
          <w:p>
            <w:r>
              <w:rPr>
                <w:rFonts w:ascii="Calibri" w:hAnsi="Calibri"/>
                <w:sz w:val="22"/>
              </w:rPr>
              <w:t>3,661 KT</w:t>
            </w:r>
          </w:p>
        </w:tc>
        <w:tc>
          <w:tcPr>
            <w:tcW w:type="dxa" w:w="1234"/>
          </w:tcPr>
          <w:p>
            <w:r>
              <w:rPr>
                <w:rFonts w:ascii="Calibri" w:hAnsi="Calibri"/>
                <w:sz w:val="22"/>
              </w:rPr>
              <w:t>+9.3% YoY</w:t>
            </w:r>
          </w:p>
        </w:tc>
        <w:tc>
          <w:tcPr>
            <w:tcW w:type="dxa" w:w="1234"/>
          </w:tcPr>
          <w:p>
            <w:r>
              <w:rPr>
                <w:rFonts w:ascii="Calibri" w:hAnsi="Calibri"/>
                <w:sz w:val="22"/>
              </w:rPr>
              <w:t>N/A — not provided</w:t>
            </w:r>
          </w:p>
        </w:tc>
        <w:tc>
          <w:tcPr>
            <w:tcW w:type="dxa" w:w="1234"/>
          </w:tcPr>
          <w:p>
            <w:r>
              <w:rPr>
                <w:rFonts w:ascii="Calibri" w:hAnsi="Calibri"/>
                <w:sz w:val="22"/>
              </w:rPr>
              <w:t>N/A</w:t>
            </w:r>
          </w:p>
        </w:tc>
      </w:tr>
      <w:tr>
        <w:tc>
          <w:tcPr>
            <w:tcW w:type="dxa" w:w="1234"/>
          </w:tcPr>
          <w:p>
            <w:r>
              <w:rPr>
                <w:rFonts w:ascii="Calibri" w:hAnsi="Calibri"/>
                <w:sz w:val="22"/>
              </w:rPr>
              <w:t>Avg. Realized Steel Price ($/ton)</w:t>
            </w:r>
          </w:p>
        </w:tc>
        <w:tc>
          <w:tcPr>
            <w:tcW w:type="dxa" w:w="1234"/>
          </w:tcPr>
          <w:p>
            <w:r>
              <w:rPr>
                <w:rFonts w:ascii="Calibri" w:hAnsi="Calibri"/>
                <w:sz w:val="22"/>
              </w:rPr>
              <w:t>$1,193/ton</w:t>
            </w:r>
          </w:p>
        </w:tc>
        <w:tc>
          <w:tcPr>
            <w:tcW w:type="dxa" w:w="1234"/>
          </w:tcPr>
          <w:p>
            <w:r>
              <w:rPr>
                <w:rFonts w:ascii="Calibri" w:hAnsi="Calibri"/>
                <w:sz w:val="22"/>
              </w:rPr>
              <w:t>$1,134/ton</w:t>
            </w:r>
          </w:p>
        </w:tc>
        <w:tc>
          <w:tcPr>
            <w:tcW w:type="dxa" w:w="1234"/>
          </w:tcPr>
          <w:p>
            <w:r>
              <w:rPr>
                <w:rFonts w:ascii="Calibri" w:hAnsi="Calibri"/>
                <w:sz w:val="22"/>
              </w:rPr>
              <w:t>$1,266/ton</w:t>
            </w:r>
          </w:p>
        </w:tc>
        <w:tc>
          <w:tcPr>
            <w:tcW w:type="dxa" w:w="1234"/>
          </w:tcPr>
          <w:p>
            <w:r>
              <w:rPr>
                <w:rFonts w:ascii="Calibri" w:hAnsi="Calibri"/>
                <w:sz w:val="22"/>
              </w:rPr>
              <w:t>+11.6% YoY</w:t>
            </w:r>
          </w:p>
        </w:tc>
        <w:tc>
          <w:tcPr>
            <w:tcW w:type="dxa" w:w="1234"/>
          </w:tcPr>
          <w:p>
            <w:r>
              <w:rPr>
                <w:rFonts w:ascii="Calibri" w:hAnsi="Calibri"/>
                <w:sz w:val="22"/>
              </w:rPr>
              <w:t>Higher (metal margin expansion)</w:t>
            </w:r>
          </w:p>
        </w:tc>
        <w:tc>
          <w:tcPr>
            <w:tcW w:type="dxa" w:w="1234"/>
          </w:tcPr>
          <w:p>
            <w:r>
              <w:rPr>
                <w:rFonts w:ascii="Calibri" w:hAnsi="Calibri"/>
                <w:sz w:val="22"/>
              </w:rPr>
              <w:t>N/A (directional only)</w:t>
            </w:r>
          </w:p>
        </w:tc>
      </w:tr>
    </w:tbl>
    <w:p>
      <w:r>
        <w:rPr>
          <w:rFonts w:ascii="Calibri" w:hAnsi="Calibri"/>
          <w:i/>
          <w:color w:val="525866"/>
          <w:sz w:val="22"/>
        </w:rPr>
        <w:t>Sources: Visible Alpha Consensus and Actuals Data; Steel Dynamics Q2 2026 Earnings Guidance (June 17, 2026); Steel Dynamics Q1 2026 Earnings Release (April 21, 2026).</w:t>
      </w:r>
    </w:p>
    <w:p>
      <w:pPr>
        <w:pStyle w:val="Heading3"/>
      </w:pPr>
      <w:r>
        <w:rPr>
          <w:rFonts w:ascii="Calibri" w:hAnsi="Calibri"/>
          <w:b/>
          <w:color w:val="3B4259"/>
          <w:sz w:val="24"/>
        </w:rPr>
        <w:t>Table 2 — Beat/Miss History (Last 8 Quarters, Top 2 KPIs)</w:t>
      </w:r>
    </w:p>
    <w:p>
      <w:r>
        <w:rPr>
          <w:rFonts w:ascii="Calibri" w:hAnsi="Calibri"/>
          <w:b/>
          <w:color w:val="525866"/>
          <w:sz w:val="22"/>
        </w:rPr>
        <w:t>Top KPI 1: EPS — Diluted Operating ($) | Top KPI 2: Steel EBITDA ($M)</w:t>
      </w:r>
    </w:p>
    <w:tbl>
      <w:tblPr>
        <w:tblStyle w:val="TableGrid"/>
        <w:tblW w:type="auto" w:w="0"/>
        <w:tblLook w:firstColumn="1" w:firstRow="1" w:lastColumn="0" w:lastRow="0" w:noHBand="0" w:noVBand="1" w:val="04A0"/>
      </w:tblPr>
      <w:tblGrid>
        <w:gridCol w:w="960"/>
        <w:gridCol w:w="960"/>
        <w:gridCol w:w="960"/>
        <w:gridCol w:w="960"/>
        <w:gridCol w:w="960"/>
        <w:gridCol w:w="960"/>
        <w:gridCol w:w="960"/>
        <w:gridCol w:w="960"/>
        <w:gridCol w:w="960"/>
      </w:tblGrid>
      <w:tr>
        <w:tc>
          <w:tcPr>
            <w:tcW w:type="dxa" w:w="960"/>
            <w:shd w:val="clear" w:color="auto" w:fill="3B4259"/>
          </w:tcPr>
          <w:p>
            <w:r>
              <w:rPr>
                <w:rFonts w:ascii="Calibri" w:hAnsi="Calibri"/>
                <w:b/>
                <w:color w:val="FFFFFF"/>
                <w:sz w:val="22"/>
              </w:rPr>
              <w:t>Quarter</w:t>
            </w:r>
          </w:p>
        </w:tc>
        <w:tc>
          <w:tcPr>
            <w:tcW w:type="dxa" w:w="960"/>
            <w:shd w:val="clear" w:color="auto" w:fill="3B4259"/>
          </w:tcPr>
          <w:p>
            <w:r>
              <w:rPr>
                <w:rFonts w:ascii="Calibri" w:hAnsi="Calibri"/>
                <w:b/>
                <w:color w:val="FFFFFF"/>
                <w:sz w:val="22"/>
              </w:rPr>
              <w:t>EPS Reported</w:t>
            </w:r>
          </w:p>
        </w:tc>
        <w:tc>
          <w:tcPr>
            <w:tcW w:type="dxa" w:w="960"/>
            <w:shd w:val="clear" w:color="auto" w:fill="3B4259"/>
          </w:tcPr>
          <w:p>
            <w:r>
              <w:rPr>
                <w:rFonts w:ascii="Calibri" w:hAnsi="Calibri"/>
                <w:b/>
                <w:color w:val="FFFFFF"/>
                <w:sz w:val="22"/>
              </w:rPr>
              <w:t>EPS Consensus</w:t>
            </w:r>
          </w:p>
        </w:tc>
        <w:tc>
          <w:tcPr>
            <w:tcW w:type="dxa" w:w="960"/>
            <w:shd w:val="clear" w:color="auto" w:fill="3B4259"/>
          </w:tcPr>
          <w:p>
            <w:r>
              <w:rPr>
                <w:rFonts w:ascii="Calibri" w:hAnsi="Calibri"/>
                <w:b/>
                <w:color w:val="FFFFFF"/>
                <w:sz w:val="22"/>
              </w:rPr>
              <w:t>EPS Surprise %</w:t>
            </w:r>
          </w:p>
        </w:tc>
        <w:tc>
          <w:tcPr>
            <w:tcW w:type="dxa" w:w="960"/>
            <w:shd w:val="clear" w:color="auto" w:fill="3B4259"/>
          </w:tcPr>
          <w:p>
            <w:r>
              <w:rPr>
                <w:rFonts w:ascii="Calibri" w:hAnsi="Calibri"/>
                <w:b/>
                <w:color w:val="FFFFFF"/>
                <w:sz w:val="22"/>
              </w:rPr>
              <w:t>EPS Result</w:t>
            </w:r>
          </w:p>
        </w:tc>
        <w:tc>
          <w:tcPr>
            <w:tcW w:type="dxa" w:w="960"/>
            <w:shd w:val="clear" w:color="auto" w:fill="3B4259"/>
          </w:tcPr>
          <w:p>
            <w:r>
              <w:rPr>
                <w:rFonts w:ascii="Calibri" w:hAnsi="Calibri"/>
                <w:b/>
                <w:color w:val="FFFFFF"/>
                <w:sz w:val="22"/>
              </w:rPr>
              <w:t>Steel EBITDA Reported ($M)</w:t>
            </w:r>
          </w:p>
        </w:tc>
        <w:tc>
          <w:tcPr>
            <w:tcW w:type="dxa" w:w="960"/>
            <w:shd w:val="clear" w:color="auto" w:fill="3B4259"/>
          </w:tcPr>
          <w:p>
            <w:r>
              <w:rPr>
                <w:rFonts w:ascii="Calibri" w:hAnsi="Calibri"/>
                <w:b/>
                <w:color w:val="FFFFFF"/>
                <w:sz w:val="22"/>
              </w:rPr>
              <w:t>Steel EBITDA Consensus ($M)</w:t>
            </w:r>
          </w:p>
        </w:tc>
        <w:tc>
          <w:tcPr>
            <w:tcW w:type="dxa" w:w="960"/>
            <w:shd w:val="clear" w:color="auto" w:fill="3B4259"/>
          </w:tcPr>
          <w:p>
            <w:r>
              <w:rPr>
                <w:rFonts w:ascii="Calibri" w:hAnsi="Calibri"/>
                <w:b/>
                <w:color w:val="FFFFFF"/>
                <w:sz w:val="22"/>
              </w:rPr>
              <w:t>Steel EBITDA Surprise %</w:t>
            </w:r>
          </w:p>
        </w:tc>
        <w:tc>
          <w:tcPr>
            <w:tcW w:type="dxa" w:w="960"/>
            <w:shd w:val="clear" w:color="auto" w:fill="3B4259"/>
          </w:tcPr>
          <w:p>
            <w:r>
              <w:rPr>
                <w:rFonts w:ascii="Calibri" w:hAnsi="Calibri"/>
                <w:b/>
                <w:color w:val="FFFFFF"/>
                <w:sz w:val="22"/>
              </w:rPr>
              <w:t>Steel EBITDA Result</w:t>
            </w:r>
          </w:p>
        </w:tc>
      </w:tr>
      <w:tr>
        <w:tc>
          <w:tcPr>
            <w:tcW w:type="dxa" w:w="960"/>
          </w:tcPr>
          <w:p>
            <w:r>
              <w:rPr>
                <w:rFonts w:ascii="Calibri" w:hAnsi="Calibri"/>
                <w:sz w:val="22"/>
              </w:rPr>
              <w:t>Q1 2026</w:t>
            </w:r>
          </w:p>
        </w:tc>
        <w:tc>
          <w:tcPr>
            <w:tcW w:type="dxa" w:w="960"/>
          </w:tcPr>
          <w:p>
            <w:r>
              <w:rPr>
                <w:rFonts w:ascii="Calibri" w:hAnsi="Calibri"/>
                <w:sz w:val="22"/>
              </w:rPr>
              <w:t>$2.78</w:t>
            </w:r>
          </w:p>
        </w:tc>
        <w:tc>
          <w:tcPr>
            <w:tcW w:type="dxa" w:w="960"/>
          </w:tcPr>
          <w:p>
            <w:r>
              <w:rPr>
                <w:rFonts w:ascii="Calibri" w:hAnsi="Calibri"/>
                <w:sz w:val="22"/>
              </w:rPr>
              <w:t>$2.78</w:t>
            </w:r>
          </w:p>
        </w:tc>
        <w:tc>
          <w:tcPr>
            <w:tcW w:type="dxa" w:w="960"/>
          </w:tcPr>
          <w:p>
            <w:r>
              <w:rPr>
                <w:rFonts w:ascii="Calibri" w:hAnsi="Calibri"/>
                <w:sz w:val="22"/>
              </w:rPr>
              <w:t>-0.3%</w:t>
            </w:r>
          </w:p>
        </w:tc>
        <w:tc>
          <w:tcPr>
            <w:tcW w:type="dxa" w:w="960"/>
          </w:tcPr>
          <w:p>
            <w:r>
              <w:rPr>
                <w:rFonts w:ascii="Calibri" w:hAnsi="Calibri"/>
                <w:b/>
                <w:color w:val="002FA7"/>
                <w:sz w:val="22"/>
              </w:rPr>
              <w:t>In-line</w:t>
            </w:r>
          </w:p>
        </w:tc>
        <w:tc>
          <w:tcPr>
            <w:tcW w:type="dxa" w:w="960"/>
          </w:tcPr>
          <w:p>
            <w:r>
              <w:rPr>
                <w:rFonts w:ascii="Calibri" w:hAnsi="Calibri"/>
                <w:sz w:val="22"/>
              </w:rPr>
              <w:t>$756M</w:t>
            </w:r>
          </w:p>
        </w:tc>
        <w:tc>
          <w:tcPr>
            <w:tcW w:type="dxa" w:w="960"/>
          </w:tcPr>
          <w:p>
            <w:r>
              <w:rPr>
                <w:rFonts w:ascii="Calibri" w:hAnsi="Calibri"/>
                <w:sz w:val="22"/>
              </w:rPr>
              <w:t>$702M</w:t>
            </w:r>
          </w:p>
        </w:tc>
        <w:tc>
          <w:tcPr>
            <w:tcW w:type="dxa" w:w="960"/>
          </w:tcPr>
          <w:p>
            <w:r>
              <w:rPr>
                <w:rFonts w:ascii="Calibri" w:hAnsi="Calibri"/>
                <w:sz w:val="22"/>
              </w:rPr>
              <w:t>+7.6%</w:t>
            </w:r>
          </w:p>
        </w:tc>
        <w:tc>
          <w:tcPr>
            <w:tcW w:type="dxa" w:w="960"/>
          </w:tcPr>
          <w:p>
            <w:r>
              <w:rPr>
                <w:rFonts w:ascii="Calibri" w:hAnsi="Calibri"/>
                <w:b/>
                <w:color w:val="30A46C"/>
                <w:sz w:val="22"/>
              </w:rPr>
              <w:t>Beat</w:t>
            </w:r>
          </w:p>
        </w:tc>
      </w:tr>
      <w:tr>
        <w:tc>
          <w:tcPr>
            <w:tcW w:type="dxa" w:w="960"/>
          </w:tcPr>
          <w:p>
            <w:r>
              <w:rPr>
                <w:rFonts w:ascii="Calibri" w:hAnsi="Calibri"/>
                <w:sz w:val="22"/>
              </w:rPr>
              <w:t>Q4 2025</w:t>
            </w:r>
          </w:p>
        </w:tc>
        <w:tc>
          <w:tcPr>
            <w:tcW w:type="dxa" w:w="960"/>
          </w:tcPr>
          <w:p>
            <w:r>
              <w:rPr>
                <w:rFonts w:ascii="Calibri" w:hAnsi="Calibri"/>
                <w:sz w:val="22"/>
              </w:rPr>
              <w:t>$1.82</w:t>
            </w:r>
          </w:p>
        </w:tc>
        <w:tc>
          <w:tcPr>
            <w:tcW w:type="dxa" w:w="960"/>
          </w:tcPr>
          <w:p>
            <w:r>
              <w:rPr>
                <w:rFonts w:ascii="Calibri" w:hAnsi="Calibri"/>
                <w:sz w:val="22"/>
              </w:rPr>
              <w:t>$1.70</w:t>
            </w:r>
          </w:p>
        </w:tc>
        <w:tc>
          <w:tcPr>
            <w:tcW w:type="dxa" w:w="960"/>
          </w:tcPr>
          <w:p>
            <w:r>
              <w:rPr>
                <w:rFonts w:ascii="Calibri" w:hAnsi="Calibri"/>
                <w:sz w:val="22"/>
              </w:rPr>
              <w:t>+6.9%</w:t>
            </w:r>
          </w:p>
        </w:tc>
        <w:tc>
          <w:tcPr>
            <w:tcW w:type="dxa" w:w="960"/>
          </w:tcPr>
          <w:p>
            <w:r>
              <w:rPr>
                <w:rFonts w:ascii="Calibri" w:hAnsi="Calibri"/>
                <w:b/>
                <w:color w:val="30A46C"/>
                <w:sz w:val="22"/>
              </w:rPr>
              <w:t>Beat</w:t>
            </w:r>
          </w:p>
        </w:tc>
        <w:tc>
          <w:tcPr>
            <w:tcW w:type="dxa" w:w="960"/>
          </w:tcPr>
          <w:p>
            <w:r>
              <w:rPr>
                <w:rFonts w:ascii="Calibri" w:hAnsi="Calibri"/>
                <w:sz w:val="22"/>
              </w:rPr>
              <w:t>$519M</w:t>
            </w:r>
          </w:p>
        </w:tc>
        <w:tc>
          <w:tcPr>
            <w:tcW w:type="dxa" w:w="960"/>
          </w:tcPr>
          <w:p>
            <w:r>
              <w:rPr>
                <w:rFonts w:ascii="Calibri" w:hAnsi="Calibri"/>
                <w:sz w:val="22"/>
              </w:rPr>
              <w:t>$517M</w:t>
            </w:r>
          </w:p>
        </w:tc>
        <w:tc>
          <w:tcPr>
            <w:tcW w:type="dxa" w:w="960"/>
          </w:tcPr>
          <w:p>
            <w:r>
              <w:rPr>
                <w:rFonts w:ascii="Calibri" w:hAnsi="Calibri"/>
                <w:sz w:val="22"/>
              </w:rPr>
              <w:t>+0.3%</w:t>
            </w:r>
          </w:p>
        </w:tc>
        <w:tc>
          <w:tcPr>
            <w:tcW w:type="dxa" w:w="960"/>
          </w:tcPr>
          <w:p>
            <w:r>
              <w:rPr>
                <w:rFonts w:ascii="Calibri" w:hAnsi="Calibri"/>
                <w:b/>
                <w:color w:val="002FA7"/>
                <w:sz w:val="22"/>
              </w:rPr>
              <w:t>In-line</w:t>
            </w:r>
          </w:p>
        </w:tc>
      </w:tr>
      <w:tr>
        <w:tc>
          <w:tcPr>
            <w:tcW w:type="dxa" w:w="960"/>
          </w:tcPr>
          <w:p>
            <w:r>
              <w:rPr>
                <w:rFonts w:ascii="Calibri" w:hAnsi="Calibri"/>
                <w:sz w:val="22"/>
              </w:rPr>
              <w:t>Q3 2025</w:t>
            </w:r>
          </w:p>
        </w:tc>
        <w:tc>
          <w:tcPr>
            <w:tcW w:type="dxa" w:w="960"/>
          </w:tcPr>
          <w:p>
            <w:r>
              <w:rPr>
                <w:rFonts w:ascii="Calibri" w:hAnsi="Calibri"/>
                <w:sz w:val="22"/>
              </w:rPr>
              <w:t>$2.74</w:t>
            </w:r>
          </w:p>
        </w:tc>
        <w:tc>
          <w:tcPr>
            <w:tcW w:type="dxa" w:w="960"/>
          </w:tcPr>
          <w:p>
            <w:r>
              <w:rPr>
                <w:rFonts w:ascii="Calibri" w:hAnsi="Calibri"/>
                <w:sz w:val="22"/>
              </w:rPr>
              <w:t>$2.63</w:t>
            </w:r>
          </w:p>
        </w:tc>
        <w:tc>
          <w:tcPr>
            <w:tcW w:type="dxa" w:w="960"/>
          </w:tcPr>
          <w:p>
            <w:r>
              <w:rPr>
                <w:rFonts w:ascii="Calibri" w:hAnsi="Calibri"/>
                <w:sz w:val="22"/>
              </w:rPr>
              <w:t>+4.2%</w:t>
            </w:r>
          </w:p>
        </w:tc>
        <w:tc>
          <w:tcPr>
            <w:tcW w:type="dxa" w:w="960"/>
          </w:tcPr>
          <w:p>
            <w:r>
              <w:rPr>
                <w:rFonts w:ascii="Calibri" w:hAnsi="Calibri"/>
                <w:b/>
                <w:color w:val="30A46C"/>
                <w:sz w:val="22"/>
              </w:rPr>
              <w:t>Beat</w:t>
            </w:r>
          </w:p>
        </w:tc>
        <w:tc>
          <w:tcPr>
            <w:tcW w:type="dxa" w:w="960"/>
          </w:tcPr>
          <w:p>
            <w:r>
              <w:rPr>
                <w:rFonts w:ascii="Calibri" w:hAnsi="Calibri"/>
                <w:sz w:val="22"/>
              </w:rPr>
              <w:t>$710M</w:t>
            </w:r>
          </w:p>
        </w:tc>
        <w:tc>
          <w:tcPr>
            <w:tcW w:type="dxa" w:w="960"/>
          </w:tcPr>
          <w:p>
            <w:r>
              <w:rPr>
                <w:rFonts w:ascii="Calibri" w:hAnsi="Calibri"/>
                <w:sz w:val="22"/>
              </w:rPr>
              <w:t>$709M</w:t>
            </w:r>
          </w:p>
        </w:tc>
        <w:tc>
          <w:tcPr>
            <w:tcW w:type="dxa" w:w="960"/>
          </w:tcPr>
          <w:p>
            <w:r>
              <w:rPr>
                <w:rFonts w:ascii="Calibri" w:hAnsi="Calibri"/>
                <w:sz w:val="22"/>
              </w:rPr>
              <w:t>+0.1%</w:t>
            </w:r>
          </w:p>
        </w:tc>
        <w:tc>
          <w:tcPr>
            <w:tcW w:type="dxa" w:w="960"/>
          </w:tcPr>
          <w:p>
            <w:r>
              <w:rPr>
                <w:rFonts w:ascii="Calibri" w:hAnsi="Calibri"/>
                <w:b/>
                <w:color w:val="002FA7"/>
                <w:sz w:val="22"/>
              </w:rPr>
              <w:t>In-line</w:t>
            </w:r>
          </w:p>
        </w:tc>
      </w:tr>
      <w:tr>
        <w:tc>
          <w:tcPr>
            <w:tcW w:type="dxa" w:w="960"/>
          </w:tcPr>
          <w:p>
            <w:r>
              <w:rPr>
                <w:rFonts w:ascii="Calibri" w:hAnsi="Calibri"/>
                <w:sz w:val="22"/>
              </w:rPr>
              <w:t>Q2 2025</w:t>
            </w:r>
          </w:p>
        </w:tc>
        <w:tc>
          <w:tcPr>
            <w:tcW w:type="dxa" w:w="960"/>
          </w:tcPr>
          <w:p>
            <w:r>
              <w:rPr>
                <w:rFonts w:ascii="Calibri" w:hAnsi="Calibri"/>
                <w:sz w:val="22"/>
              </w:rPr>
              <w:t>$2.01</w:t>
            </w:r>
          </w:p>
        </w:tc>
        <w:tc>
          <w:tcPr>
            <w:tcW w:type="dxa" w:w="960"/>
          </w:tcPr>
          <w:p>
            <w:r>
              <w:rPr>
                <w:rFonts w:ascii="Calibri" w:hAnsi="Calibri"/>
                <w:sz w:val="22"/>
              </w:rPr>
              <w:t>$2.20</w:t>
            </w:r>
          </w:p>
        </w:tc>
        <w:tc>
          <w:tcPr>
            <w:tcW w:type="dxa" w:w="960"/>
          </w:tcPr>
          <w:p>
            <w:r>
              <w:rPr>
                <w:rFonts w:ascii="Calibri" w:hAnsi="Calibri"/>
                <w:sz w:val="22"/>
              </w:rPr>
              <w:t>-8.8%</w:t>
            </w:r>
          </w:p>
        </w:tc>
        <w:tc>
          <w:tcPr>
            <w:tcW w:type="dxa" w:w="960"/>
          </w:tcPr>
          <w:p>
            <w:r>
              <w:rPr>
                <w:rFonts w:ascii="Calibri" w:hAnsi="Calibri"/>
                <w:b/>
                <w:color w:val="E5484D"/>
                <w:sz w:val="22"/>
              </w:rPr>
              <w:t>Miss</w:t>
            </w:r>
          </w:p>
        </w:tc>
        <w:tc>
          <w:tcPr>
            <w:tcW w:type="dxa" w:w="960"/>
          </w:tcPr>
          <w:p>
            <w:r>
              <w:rPr>
                <w:rFonts w:ascii="Calibri" w:hAnsi="Calibri"/>
                <w:sz w:val="22"/>
              </w:rPr>
              <w:t>$576M</w:t>
            </w:r>
          </w:p>
        </w:tc>
        <w:tc>
          <w:tcPr>
            <w:tcW w:type="dxa" w:w="960"/>
          </w:tcPr>
          <w:p>
            <w:r>
              <w:rPr>
                <w:rFonts w:ascii="Calibri" w:hAnsi="Calibri"/>
                <w:sz w:val="22"/>
              </w:rPr>
              <w:t>$639M</w:t>
            </w:r>
          </w:p>
        </w:tc>
        <w:tc>
          <w:tcPr>
            <w:tcW w:type="dxa" w:w="960"/>
          </w:tcPr>
          <w:p>
            <w:r>
              <w:rPr>
                <w:rFonts w:ascii="Calibri" w:hAnsi="Calibri"/>
                <w:sz w:val="22"/>
              </w:rPr>
              <w:t>-9.9%</w:t>
            </w:r>
          </w:p>
        </w:tc>
        <w:tc>
          <w:tcPr>
            <w:tcW w:type="dxa" w:w="960"/>
          </w:tcPr>
          <w:p>
            <w:r>
              <w:rPr>
                <w:rFonts w:ascii="Calibri" w:hAnsi="Calibri"/>
                <w:b/>
                <w:color w:val="E5484D"/>
                <w:sz w:val="22"/>
              </w:rPr>
              <w:t>Miss</w:t>
            </w:r>
          </w:p>
        </w:tc>
      </w:tr>
      <w:tr>
        <w:tc>
          <w:tcPr>
            <w:tcW w:type="dxa" w:w="960"/>
          </w:tcPr>
          <w:p>
            <w:r>
              <w:rPr>
                <w:rFonts w:ascii="Calibri" w:hAnsi="Calibri"/>
                <w:sz w:val="22"/>
              </w:rPr>
              <w:t>Q1 2025</w:t>
            </w:r>
          </w:p>
        </w:tc>
        <w:tc>
          <w:tcPr>
            <w:tcW w:type="dxa" w:w="960"/>
          </w:tcPr>
          <w:p>
            <w:r>
              <w:rPr>
                <w:rFonts w:ascii="Calibri" w:hAnsi="Calibri"/>
                <w:sz w:val="22"/>
              </w:rPr>
              <w:t>$1.44</w:t>
            </w:r>
          </w:p>
        </w:tc>
        <w:tc>
          <w:tcPr>
            <w:tcW w:type="dxa" w:w="960"/>
          </w:tcPr>
          <w:p>
            <w:r>
              <w:rPr>
                <w:rFonts w:ascii="Calibri" w:hAnsi="Calibri"/>
                <w:sz w:val="22"/>
              </w:rPr>
              <w:t>$1.38</w:t>
            </w:r>
          </w:p>
        </w:tc>
        <w:tc>
          <w:tcPr>
            <w:tcW w:type="dxa" w:w="960"/>
          </w:tcPr>
          <w:p>
            <w:r>
              <w:rPr>
                <w:rFonts w:ascii="Calibri" w:hAnsi="Calibri"/>
                <w:sz w:val="22"/>
              </w:rPr>
              <w:t>+4.6%</w:t>
            </w:r>
          </w:p>
        </w:tc>
        <w:tc>
          <w:tcPr>
            <w:tcW w:type="dxa" w:w="960"/>
          </w:tcPr>
          <w:p>
            <w:r>
              <w:rPr>
                <w:rFonts w:ascii="Calibri" w:hAnsi="Calibri"/>
                <w:b/>
                <w:color w:val="30A46C"/>
                <w:sz w:val="22"/>
              </w:rPr>
              <w:t>Beat</w:t>
            </w:r>
          </w:p>
        </w:tc>
        <w:tc>
          <w:tcPr>
            <w:tcW w:type="dxa" w:w="960"/>
          </w:tcPr>
          <w:p>
            <w:r>
              <w:rPr>
                <w:rFonts w:ascii="Calibri" w:hAnsi="Calibri"/>
                <w:sz w:val="22"/>
              </w:rPr>
              <w:t>$449M</w:t>
            </w:r>
          </w:p>
        </w:tc>
        <w:tc>
          <w:tcPr>
            <w:tcW w:type="dxa" w:w="960"/>
          </w:tcPr>
          <w:p>
            <w:r>
              <w:rPr>
                <w:rFonts w:ascii="Calibri" w:hAnsi="Calibri"/>
                <w:sz w:val="22"/>
              </w:rPr>
              <w:t>$440M</w:t>
            </w:r>
          </w:p>
        </w:tc>
        <w:tc>
          <w:tcPr>
            <w:tcW w:type="dxa" w:w="960"/>
          </w:tcPr>
          <w:p>
            <w:r>
              <w:rPr>
                <w:rFonts w:ascii="Calibri" w:hAnsi="Calibri"/>
                <w:sz w:val="22"/>
              </w:rPr>
              <w:t>+2.0%</w:t>
            </w:r>
          </w:p>
        </w:tc>
        <w:tc>
          <w:tcPr>
            <w:tcW w:type="dxa" w:w="960"/>
          </w:tcPr>
          <w:p>
            <w:r>
              <w:rPr>
                <w:rFonts w:ascii="Calibri" w:hAnsi="Calibri"/>
                <w:b/>
                <w:color w:val="30A46C"/>
                <w:sz w:val="22"/>
              </w:rPr>
              <w:t>Beat</w:t>
            </w:r>
          </w:p>
        </w:tc>
      </w:tr>
      <w:tr>
        <w:tc>
          <w:tcPr>
            <w:tcW w:type="dxa" w:w="960"/>
          </w:tcPr>
          <w:p>
            <w:r>
              <w:rPr>
                <w:rFonts w:ascii="Calibri" w:hAnsi="Calibri"/>
                <w:sz w:val="22"/>
              </w:rPr>
              <w:t>Q4 2024</w:t>
            </w:r>
          </w:p>
        </w:tc>
        <w:tc>
          <w:tcPr>
            <w:tcW w:type="dxa" w:w="960"/>
          </w:tcPr>
          <w:p>
            <w:r>
              <w:rPr>
                <w:rFonts w:ascii="Calibri" w:hAnsi="Calibri"/>
                <w:sz w:val="22"/>
              </w:rPr>
              <w:t>$1.36</w:t>
            </w:r>
          </w:p>
        </w:tc>
        <w:tc>
          <w:tcPr>
            <w:tcW w:type="dxa" w:w="960"/>
          </w:tcPr>
          <w:p>
            <w:r>
              <w:rPr>
                <w:rFonts w:ascii="Calibri" w:hAnsi="Calibri"/>
                <w:sz w:val="22"/>
              </w:rPr>
              <w:t>$1.32</w:t>
            </w:r>
          </w:p>
        </w:tc>
        <w:tc>
          <w:tcPr>
            <w:tcW w:type="dxa" w:w="960"/>
          </w:tcPr>
          <w:p>
            <w:r>
              <w:rPr>
                <w:rFonts w:ascii="Calibri" w:hAnsi="Calibri"/>
                <w:sz w:val="22"/>
              </w:rPr>
              <w:t>+3.0%</w:t>
            </w:r>
          </w:p>
        </w:tc>
        <w:tc>
          <w:tcPr>
            <w:tcW w:type="dxa" w:w="960"/>
          </w:tcPr>
          <w:p>
            <w:r>
              <w:rPr>
                <w:rFonts w:ascii="Calibri" w:hAnsi="Calibri"/>
                <w:b/>
                <w:color w:val="30A46C"/>
                <w:sz w:val="22"/>
              </w:rPr>
              <w:t>Beat</w:t>
            </w:r>
          </w:p>
        </w:tc>
        <w:tc>
          <w:tcPr>
            <w:tcW w:type="dxa" w:w="960"/>
          </w:tcPr>
          <w:p>
            <w:r>
              <w:rPr>
                <w:rFonts w:ascii="Calibri" w:hAnsi="Calibri"/>
                <w:sz w:val="22"/>
              </w:rPr>
              <w:t>$395M</w:t>
            </w:r>
          </w:p>
        </w:tc>
        <w:tc>
          <w:tcPr>
            <w:tcW w:type="dxa" w:w="960"/>
          </w:tcPr>
          <w:p>
            <w:r>
              <w:rPr>
                <w:rFonts w:ascii="Calibri" w:hAnsi="Calibri"/>
                <w:sz w:val="22"/>
              </w:rPr>
              <w:t>N/A</w:t>
            </w:r>
          </w:p>
        </w:tc>
        <w:tc>
          <w:tcPr>
            <w:tcW w:type="dxa" w:w="960"/>
          </w:tcPr>
          <w:p>
            <w:r>
              <w:rPr>
                <w:rFonts w:ascii="Calibri" w:hAnsi="Calibri"/>
                <w:sz w:val="22"/>
              </w:rPr>
              <w:t>N/A</w:t>
            </w:r>
          </w:p>
        </w:tc>
        <w:tc>
          <w:tcPr>
            <w:tcW w:type="dxa" w:w="960"/>
          </w:tcPr>
          <w:p>
            <w:r>
              <w:rPr>
                <w:rFonts w:ascii="Calibri" w:hAnsi="Calibri"/>
                <w:sz w:val="22"/>
              </w:rPr>
              <w:t>N/A</w:t>
            </w:r>
          </w:p>
        </w:tc>
      </w:tr>
      <w:tr>
        <w:tc>
          <w:tcPr>
            <w:tcW w:type="dxa" w:w="960"/>
          </w:tcPr>
          <w:p>
            <w:r>
              <w:rPr>
                <w:rFonts w:ascii="Calibri" w:hAnsi="Calibri"/>
                <w:sz w:val="22"/>
              </w:rPr>
              <w:t>Q3 2024</w:t>
            </w:r>
          </w:p>
        </w:tc>
        <w:tc>
          <w:tcPr>
            <w:tcW w:type="dxa" w:w="960"/>
          </w:tcPr>
          <w:p>
            <w:r>
              <w:rPr>
                <w:rFonts w:ascii="Calibri" w:hAnsi="Calibri"/>
                <w:sz w:val="22"/>
              </w:rPr>
              <w:t>$2.05</w:t>
            </w:r>
          </w:p>
        </w:tc>
        <w:tc>
          <w:tcPr>
            <w:tcW w:type="dxa" w:w="960"/>
          </w:tcPr>
          <w:p>
            <w:r>
              <w:rPr>
                <w:rFonts w:ascii="Calibri" w:hAnsi="Calibri"/>
                <w:sz w:val="22"/>
              </w:rPr>
              <w:t>$1.98</w:t>
            </w:r>
          </w:p>
        </w:tc>
        <w:tc>
          <w:tcPr>
            <w:tcW w:type="dxa" w:w="960"/>
          </w:tcPr>
          <w:p>
            <w:r>
              <w:rPr>
                <w:rFonts w:ascii="Calibri" w:hAnsi="Calibri"/>
                <w:sz w:val="22"/>
              </w:rPr>
              <w:t>+3.5%</w:t>
            </w:r>
          </w:p>
        </w:tc>
        <w:tc>
          <w:tcPr>
            <w:tcW w:type="dxa" w:w="960"/>
          </w:tcPr>
          <w:p>
            <w:r>
              <w:rPr>
                <w:rFonts w:ascii="Calibri" w:hAnsi="Calibri"/>
                <w:b/>
                <w:color w:val="30A46C"/>
                <w:sz w:val="22"/>
              </w:rPr>
              <w:t>Beat</w:t>
            </w:r>
          </w:p>
        </w:tc>
        <w:tc>
          <w:tcPr>
            <w:tcW w:type="dxa" w:w="960"/>
          </w:tcPr>
          <w:p>
            <w:r>
              <w:rPr>
                <w:rFonts w:ascii="Calibri" w:hAnsi="Calibri"/>
                <w:sz w:val="22"/>
              </w:rPr>
              <w:t>$565M</w:t>
            </w:r>
          </w:p>
        </w:tc>
        <w:tc>
          <w:tcPr>
            <w:tcW w:type="dxa" w:w="960"/>
          </w:tcPr>
          <w:p>
            <w:r>
              <w:rPr>
                <w:rFonts w:ascii="Calibri" w:hAnsi="Calibri"/>
                <w:sz w:val="22"/>
              </w:rPr>
              <w:t>N/A</w:t>
            </w:r>
          </w:p>
        </w:tc>
        <w:tc>
          <w:tcPr>
            <w:tcW w:type="dxa" w:w="960"/>
          </w:tcPr>
          <w:p>
            <w:r>
              <w:rPr>
                <w:rFonts w:ascii="Calibri" w:hAnsi="Calibri"/>
                <w:sz w:val="22"/>
              </w:rPr>
              <w:t>N/A</w:t>
            </w:r>
          </w:p>
        </w:tc>
        <w:tc>
          <w:tcPr>
            <w:tcW w:type="dxa" w:w="960"/>
          </w:tcPr>
          <w:p>
            <w:r>
              <w:rPr>
                <w:rFonts w:ascii="Calibri" w:hAnsi="Calibri"/>
                <w:sz w:val="22"/>
              </w:rPr>
              <w:t>N/A</w:t>
            </w:r>
          </w:p>
        </w:tc>
      </w:tr>
      <w:tr>
        <w:tc>
          <w:tcPr>
            <w:tcW w:type="dxa" w:w="960"/>
          </w:tcPr>
          <w:p>
            <w:r>
              <w:rPr>
                <w:rFonts w:ascii="Calibri" w:hAnsi="Calibri"/>
                <w:sz w:val="22"/>
              </w:rPr>
              <w:t>Q2 2024</w:t>
            </w:r>
          </w:p>
        </w:tc>
        <w:tc>
          <w:tcPr>
            <w:tcW w:type="dxa" w:w="960"/>
          </w:tcPr>
          <w:p>
            <w:r>
              <w:rPr>
                <w:rFonts w:ascii="Calibri" w:hAnsi="Calibri"/>
                <w:sz w:val="22"/>
              </w:rPr>
              <w:t>$2.72</w:t>
            </w:r>
          </w:p>
        </w:tc>
        <w:tc>
          <w:tcPr>
            <w:tcW w:type="dxa" w:w="960"/>
          </w:tcPr>
          <w:p>
            <w:r>
              <w:rPr>
                <w:rFonts w:ascii="Calibri" w:hAnsi="Calibri"/>
                <w:sz w:val="22"/>
              </w:rPr>
              <w:t>$2.72</w:t>
            </w:r>
          </w:p>
        </w:tc>
        <w:tc>
          <w:tcPr>
            <w:tcW w:type="dxa" w:w="960"/>
          </w:tcPr>
          <w:p>
            <w:r>
              <w:rPr>
                <w:rFonts w:ascii="Calibri" w:hAnsi="Calibri"/>
                <w:sz w:val="22"/>
              </w:rPr>
              <w:t>0.0%</w:t>
            </w:r>
          </w:p>
        </w:tc>
        <w:tc>
          <w:tcPr>
            <w:tcW w:type="dxa" w:w="960"/>
          </w:tcPr>
          <w:p>
            <w:r>
              <w:rPr>
                <w:rFonts w:ascii="Calibri" w:hAnsi="Calibri"/>
                <w:b/>
                <w:color w:val="002FA7"/>
                <w:sz w:val="22"/>
              </w:rPr>
              <w:t>In-line</w:t>
            </w:r>
          </w:p>
        </w:tc>
        <w:tc>
          <w:tcPr>
            <w:tcW w:type="dxa" w:w="960"/>
          </w:tcPr>
          <w:p>
            <w:r>
              <w:rPr>
                <w:rFonts w:ascii="Calibri" w:hAnsi="Calibri"/>
                <w:sz w:val="22"/>
              </w:rPr>
              <w:t>$713M</w:t>
            </w:r>
          </w:p>
        </w:tc>
        <w:tc>
          <w:tcPr>
            <w:tcW w:type="dxa" w:w="960"/>
          </w:tcPr>
          <w:p>
            <w:r>
              <w:rPr>
                <w:rFonts w:ascii="Calibri" w:hAnsi="Calibri"/>
                <w:sz w:val="22"/>
              </w:rPr>
              <w:t>N/A</w:t>
            </w:r>
          </w:p>
        </w:tc>
        <w:tc>
          <w:tcPr>
            <w:tcW w:type="dxa" w:w="960"/>
          </w:tcPr>
          <w:p>
            <w:r>
              <w:rPr>
                <w:rFonts w:ascii="Calibri" w:hAnsi="Calibri"/>
                <w:sz w:val="22"/>
              </w:rPr>
              <w:t>N/A</w:t>
            </w:r>
          </w:p>
        </w:tc>
        <w:tc>
          <w:tcPr>
            <w:tcW w:type="dxa" w:w="960"/>
          </w:tcPr>
          <w:p>
            <w:r>
              <w:rPr>
                <w:rFonts w:ascii="Calibri" w:hAnsi="Calibri"/>
                <w:sz w:val="22"/>
              </w:rPr>
              <w:t>N/A</w:t>
            </w:r>
          </w:p>
        </w:tc>
      </w:tr>
    </w:tbl>
    <w:p>
      <w:r>
        <w:rPr>
          <w:rFonts w:ascii="Calibri" w:hAnsi="Calibri"/>
          <w:b/>
          <w:color w:val="525866"/>
          <w:sz w:val="22"/>
        </w:rPr>
        <w:t xml:space="preserve">Pattern: </w:t>
      </w:r>
      <w:r>
        <w:rPr>
          <w:rFonts w:ascii="Calibri" w:hAnsi="Calibri"/>
          <w:color w:val="525866"/>
          <w:sz w:val="22"/>
        </w:rPr>
        <w:t>STLD has beaten or matched EPS consensus in 6 of the last 8 quarters, with the lone meaningful miss in Q2 2025 driven by a steel pricing downturn that was well-telegraphed; the current setup (management guidance below consensus, strong demand commentary) is consistent with prior beat quarters.</w:t>
      </w:r>
    </w:p>
    <w:p>
      <w:r>
        <w:rPr>
          <w:rFonts w:ascii="Calibri" w:hAnsi="Calibri"/>
          <w:i/>
          <w:color w:val="525866"/>
          <w:sz w:val="22"/>
        </w:rPr>
        <w:t>Source: Visible Alpha Consensus and Actuals Data.</w:t>
      </w:r>
    </w:p>
    <w:p>
      <w:r>
        <w:br w:type="page"/>
      </w:r>
    </w:p>
    <w:p>
      <w:pPr>
        <w:pStyle w:val="Heading2"/>
      </w:pPr>
      <w:r>
        <w:rPr>
          <w:rFonts w:ascii="Calibri" w:hAnsi="Calibri"/>
          <w:b/>
          <w:color w:val="3B4259"/>
          <w:sz w:val="28"/>
        </w:rPr>
        <w:t>3. Guidance &amp; Commentary Evolution</w:t>
      </w:r>
    </w:p>
    <w:p>
      <w:r>
        <w:rPr>
          <w:rFonts w:ascii="Calibri" w:hAnsi="Calibri"/>
          <w:b/>
          <w:color w:val="525866"/>
          <w:sz w:val="22"/>
        </w:rPr>
        <w:t xml:space="preserve">Key Takeaway: </w:t>
      </w:r>
      <w:r>
        <w:rPr>
          <w:rFonts w:ascii="Calibri" w:hAnsi="Calibri"/>
          <w:color w:val="525866"/>
          <w:sz w:val="22"/>
        </w:rPr>
        <w:t>Management's tone has shifted decisively more constructive since Q1 earnings — the June 17 guidance update confirmed steel margin expansion and a dramatic aluminum shipment ramp, while the fabrication backlog (now ~40% above year-ago levels) signals durable demand well into 2027; the only incremental negative was the $16M write-down from the Arizona satellite facility relocation.</w:t>
      </w:r>
    </w:p>
    <w:tbl>
      <w:tblPr>
        <w:tblStyle w:val="TableGrid"/>
        <w:tblW w:type="auto" w:w="0"/>
        <w:tblLook w:firstColumn="1" w:firstRow="1" w:lastColumn="0" w:lastRow="0" w:noHBand="0" w:noVBand="1" w:val="04A0"/>
      </w:tblPr>
      <w:tblGrid>
        <w:gridCol w:w="2160"/>
        <w:gridCol w:w="2160"/>
        <w:gridCol w:w="2160"/>
        <w:gridCol w:w="2160"/>
      </w:tblGrid>
      <w:tr>
        <w:tc>
          <w:tcPr>
            <w:tcW w:type="dxa" w:w="2160"/>
            <w:shd w:val="clear" w:color="auto" w:fill="3B4259"/>
          </w:tcPr>
          <w:p>
            <w:r>
              <w:rPr>
                <w:rFonts w:ascii="Calibri" w:hAnsi="Calibri"/>
                <w:b/>
                <w:color w:val="FFFFFF"/>
                <w:sz w:val="22"/>
              </w:rPr>
              <w:t>Topic</w:t>
            </w:r>
          </w:p>
        </w:tc>
        <w:tc>
          <w:tcPr>
            <w:tcW w:type="dxa" w:w="2160"/>
            <w:shd w:val="clear" w:color="auto" w:fill="3B4259"/>
          </w:tcPr>
          <w:p>
            <w:r>
              <w:rPr>
                <w:rFonts w:ascii="Calibri" w:hAnsi="Calibri"/>
                <w:b/>
                <w:color w:val="FFFFFF"/>
                <w:sz w:val="22"/>
              </w:rPr>
              <w:t>Q1 2026 Earnings Call (Apr 21, 2026) — Baseline</w:t>
            </w:r>
          </w:p>
        </w:tc>
        <w:tc>
          <w:tcPr>
            <w:tcW w:type="dxa" w:w="2160"/>
            <w:shd w:val="clear" w:color="auto" w:fill="3B4259"/>
          </w:tcPr>
          <w:p>
            <w:r>
              <w:rPr>
                <w:rFonts w:ascii="Calibri" w:hAnsi="Calibri"/>
                <w:b/>
                <w:color w:val="FFFFFF"/>
                <w:sz w:val="22"/>
              </w:rPr>
              <w:t>Q2 2026 Guidance Update (Jun 17, 2026) — Revised</w:t>
            </w:r>
          </w:p>
        </w:tc>
        <w:tc>
          <w:tcPr>
            <w:tcW w:type="dxa" w:w="2160"/>
            <w:shd w:val="clear" w:color="auto" w:fill="3B4259"/>
          </w:tcPr>
          <w:p>
            <w:r>
              <w:rPr>
                <w:rFonts w:ascii="Calibri" w:hAnsi="Calibri"/>
                <w:b/>
                <w:color w:val="FFFFFF"/>
                <w:sz w:val="22"/>
              </w:rPr>
              <w:t>Direction of Change</w:t>
            </w:r>
          </w:p>
        </w:tc>
      </w:tr>
      <w:tr>
        <w:tc>
          <w:tcPr>
            <w:tcW w:type="dxa" w:w="2160"/>
          </w:tcPr>
          <w:p>
            <w:r>
              <w:rPr>
                <w:rFonts w:ascii="Calibri" w:hAnsi="Calibri"/>
                <w:sz w:val="22"/>
              </w:rPr>
              <w:t>Steel Operations</w:t>
            </w:r>
          </w:p>
        </w:tc>
        <w:tc>
          <w:tcPr>
            <w:tcW w:type="dxa" w:w="2160"/>
          </w:tcPr>
          <w:p>
            <w:r>
              <w:rPr>
                <w:rFonts w:ascii="Calibri" w:hAnsi="Calibri"/>
                <w:sz w:val="22"/>
              </w:rPr>
              <w:t>Guided for positive Q2 impact from flat-rolled price increases (75–80% of business on lagging contracts); HRC at $1,000+/ton; long products strong; demand-driven market with low imports</w:t>
            </w:r>
          </w:p>
        </w:tc>
        <w:tc>
          <w:tcPr>
            <w:tcW w:type="dxa" w:w="2160"/>
          </w:tcPr>
          <w:p>
            <w:r>
              <w:rPr>
                <w:rFonts w:ascii="Calibri" w:hAnsi="Calibri"/>
                <w:sz w:val="22"/>
              </w:rPr>
              <w:t>Confirmed "meaningfully higher" profitability vs. Q1; metal margin expansion across platform; strong demand in non-residential construction, energy, automotive, industrial; order activity strong; low inventories supporting pricing</w:t>
            </w:r>
          </w:p>
        </w:tc>
        <w:tc>
          <w:tcPr>
            <w:tcW w:type="dxa" w:w="2160"/>
          </w:tcPr>
          <w:p>
            <w:r>
              <w:rPr>
                <w:rFonts w:ascii="Calibri" w:hAnsi="Calibri"/>
                <w:b/>
                <w:color w:val="30A46C"/>
                <w:sz w:val="22"/>
              </w:rPr>
              <w:t>More Constructive</w:t>
            </w:r>
          </w:p>
        </w:tc>
      </w:tr>
      <w:tr>
        <w:tc>
          <w:tcPr>
            <w:tcW w:type="dxa" w:w="2160"/>
          </w:tcPr>
          <w:p>
            <w:r>
              <w:rPr>
                <w:rFonts w:ascii="Calibri" w:hAnsi="Calibri"/>
                <w:sz w:val="22"/>
              </w:rPr>
              <w:t>Aluminum Operations</w:t>
            </w:r>
          </w:p>
        </w:tc>
        <w:tc>
          <w:tcPr>
            <w:tcW w:type="dxa" w:w="2160"/>
          </w:tcPr>
          <w:p>
            <w:r>
              <w:rPr>
                <w:rFonts w:ascii="Calibri" w:hAnsi="Calibri"/>
                <w:sz w:val="22"/>
              </w:rPr>
              <w:t>Q1 operating loss of $65M due to January quality issue; guided Q2 shipments to 60,000–70,000 tons (vs. 22,000 in Q1); 2 of 3 cold mills ramping; first CASH line operational; targeting 90% capacity exit rate for 2026</w:t>
            </w:r>
          </w:p>
        </w:tc>
        <w:tc>
          <w:tcPr>
            <w:tcW w:type="dxa" w:w="2160"/>
          </w:tcPr>
          <w:p>
            <w:r>
              <w:rPr>
                <w:rFonts w:ascii="Calibri" w:hAnsi="Calibri"/>
                <w:sz w:val="22"/>
              </w:rPr>
              <w:t>"Significant improvement" in Q2 earnings vs. Q1; increased shipments and higher realized pricing; 2 of 3 cold mills operational; third cold mill qualifying material in July; first CASH line shipping for automotive qualification; second CASH line qualifications expected Q4 2026</w:t>
            </w:r>
          </w:p>
        </w:tc>
        <w:tc>
          <w:tcPr>
            <w:tcW w:type="dxa" w:w="2160"/>
          </w:tcPr>
          <w:p>
            <w:r>
              <w:rPr>
                <w:rFonts w:ascii="Calibri" w:hAnsi="Calibri"/>
                <w:b/>
                <w:color w:val="30A46C"/>
                <w:sz w:val="22"/>
              </w:rPr>
              <w:t>More Constructive</w:t>
            </w:r>
          </w:p>
        </w:tc>
      </w:tr>
      <w:tr>
        <w:tc>
          <w:tcPr>
            <w:tcW w:type="dxa" w:w="2160"/>
          </w:tcPr>
          <w:p>
            <w:r>
              <w:rPr>
                <w:rFonts w:ascii="Calibri" w:hAnsi="Calibri"/>
                <w:sz w:val="22"/>
              </w:rPr>
              <w:t>Aluminum Satellite Facility</w:t>
            </w:r>
          </w:p>
        </w:tc>
        <w:tc>
          <w:tcPr>
            <w:tcW w:type="dxa" w:w="2160"/>
          </w:tcPr>
          <w:p>
            <w:r>
              <w:rPr>
                <w:rFonts w:ascii="Calibri" w:hAnsi="Calibri"/>
                <w:sz w:val="22"/>
              </w:rPr>
              <w:t>No update at Q1 earnings; Arizona satellite facility was part of the original plan</w:t>
            </w:r>
          </w:p>
        </w:tc>
        <w:tc>
          <w:tcPr>
            <w:tcW w:type="dxa" w:w="2160"/>
          </w:tcPr>
          <w:p>
            <w:r>
              <w:rPr>
                <w:rFonts w:ascii="Calibri" w:hAnsi="Calibri"/>
                <w:sz w:val="22"/>
              </w:rPr>
              <w:t>Decision to relocate second satellite aluminum recycled slab center from Arizona to Columbus, MS; $16M asset write-down embedded in Q2 guidance; differences with Arizona state officials cited</w:t>
            </w:r>
          </w:p>
        </w:tc>
        <w:tc>
          <w:tcPr>
            <w:tcW w:type="dxa" w:w="2160"/>
          </w:tcPr>
          <w:p>
            <w:r>
              <w:rPr>
                <w:rFonts w:ascii="Calibri" w:hAnsi="Calibri"/>
                <w:b/>
                <w:color w:val="E5484D"/>
                <w:sz w:val="22"/>
              </w:rPr>
              <w:t>Incremental Negative (one-time)</w:t>
            </w:r>
          </w:p>
        </w:tc>
      </w:tr>
      <w:tr>
        <w:tc>
          <w:tcPr>
            <w:tcW w:type="dxa" w:w="2160"/>
          </w:tcPr>
          <w:p>
            <w:r>
              <w:rPr>
                <w:rFonts w:ascii="Calibri" w:hAnsi="Calibri"/>
                <w:sz w:val="22"/>
              </w:rPr>
              <w:t>Steel Fabrication</w:t>
            </w:r>
          </w:p>
        </w:tc>
        <w:tc>
          <w:tcPr>
            <w:tcW w:type="dxa" w:w="2160"/>
          </w:tcPr>
          <w:p>
            <w:r>
              <w:rPr>
                <w:rFonts w:ascii="Calibri" w:hAnsi="Calibri"/>
                <w:sz w:val="22"/>
              </w:rPr>
              <w:t>Strong order activity continuing from end of 2025; backlog building; demand from commercial construction, data centers, warehouses, manufacturing, healthcare</w:t>
            </w:r>
          </w:p>
        </w:tc>
        <w:tc>
          <w:tcPr>
            <w:tcW w:type="dxa" w:w="2160"/>
          </w:tcPr>
          <w:p>
            <w:r>
              <w:rPr>
                <w:rFonts w:ascii="Calibri" w:hAnsi="Calibri"/>
                <w:sz w:val="22"/>
              </w:rPr>
              <w:t>Q2 earnings "incrementally below" Q1 due to higher steel input costs offsetting stronger shipments; backlog now ~40% above year-ago and extends through 2027; further volume improvement expected throughout year</w:t>
            </w:r>
          </w:p>
        </w:tc>
        <w:tc>
          <w:tcPr>
            <w:tcW w:type="dxa" w:w="2160"/>
          </w:tcPr>
          <w:p>
            <w:r>
              <w:rPr>
                <w:rFonts w:ascii="Calibri" w:hAnsi="Calibri"/>
                <w:b/>
                <w:color w:val="002FA7"/>
                <w:sz w:val="22"/>
              </w:rPr>
              <w:t>Slightly Cautious Near-Term, Bullish Long-Term</w:t>
            </w:r>
          </w:p>
        </w:tc>
      </w:tr>
      <w:tr>
        <w:tc>
          <w:tcPr>
            <w:tcW w:type="dxa" w:w="2160"/>
          </w:tcPr>
          <w:p>
            <w:r>
              <w:rPr>
                <w:rFonts w:ascii="Calibri" w:hAnsi="Calibri"/>
                <w:sz w:val="22"/>
              </w:rPr>
              <w:t>Metals Recycling</w:t>
            </w:r>
          </w:p>
        </w:tc>
        <w:tc>
          <w:tcPr>
            <w:tcW w:type="dxa" w:w="2160"/>
          </w:tcPr>
          <w:p>
            <w:r>
              <w:rPr>
                <w:rFonts w:ascii="Calibri" w:hAnsi="Calibri"/>
                <w:sz w:val="22"/>
              </w:rPr>
              <w:t>Stable; integrated model providing scrap cost advantage</w:t>
            </w:r>
          </w:p>
        </w:tc>
        <w:tc>
          <w:tcPr>
            <w:tcW w:type="dxa" w:w="2160"/>
          </w:tcPr>
          <w:p>
            <w:r>
              <w:rPr>
                <w:rFonts w:ascii="Calibri" w:hAnsi="Calibri"/>
                <w:sz w:val="22"/>
              </w:rPr>
              <w:t>Q2 earnings "similar" to Q1; increased ferrous/non-ferrous shipments offset by anticipated nonferrous unrealized hedging losses</w:t>
            </w:r>
          </w:p>
        </w:tc>
        <w:tc>
          <w:tcPr>
            <w:tcW w:type="dxa" w:w="2160"/>
          </w:tcPr>
          <w:p>
            <w:r>
              <w:rPr>
                <w:rFonts w:ascii="Calibri" w:hAnsi="Calibri"/>
                <w:b/>
                <w:color w:val="002FA7"/>
                <w:sz w:val="22"/>
              </w:rPr>
              <w:t>Neutral / Unchanged</w:t>
            </w:r>
          </w:p>
        </w:tc>
      </w:tr>
      <w:tr>
        <w:tc>
          <w:tcPr>
            <w:tcW w:type="dxa" w:w="2160"/>
          </w:tcPr>
          <w:p>
            <w:r>
              <w:rPr>
                <w:rFonts w:ascii="Calibri" w:hAnsi="Calibri"/>
                <w:sz w:val="22"/>
              </w:rPr>
              <w:t>Capital Allocation</w:t>
            </w:r>
          </w:p>
        </w:tc>
        <w:tc>
          <w:tcPr>
            <w:tcW w:type="dxa" w:w="2160"/>
          </w:tcPr>
          <w:p>
            <w:r>
              <w:rPr>
                <w:rFonts w:ascii="Calibri" w:hAnsi="Calibri"/>
                <w:sz w:val="22"/>
              </w:rPr>
              <w:t>Buyback pace moderated in Q1 due to working capital growth; reaffirmed priority framework (growth → dividend → buybacks); BlueScope M&amp;A stalled after rejected joint offer</w:t>
            </w:r>
          </w:p>
        </w:tc>
        <w:tc>
          <w:tcPr>
            <w:tcW w:type="dxa" w:w="2160"/>
          </w:tcPr>
          <w:p>
            <w:r>
              <w:rPr>
                <w:rFonts w:ascii="Calibri" w:hAnsi="Calibri"/>
                <w:sz w:val="22"/>
              </w:rPr>
              <w:t>$170M of stock repurchased so far in Q2 (as of June 17); balanced approach maintained</w:t>
            </w:r>
          </w:p>
        </w:tc>
        <w:tc>
          <w:tcPr>
            <w:tcW w:type="dxa" w:w="2160"/>
          </w:tcPr>
          <w:p>
            <w:r>
              <w:rPr>
                <w:rFonts w:ascii="Calibri" w:hAnsi="Calibri"/>
                <w:b/>
                <w:color w:val="30A46C"/>
                <w:sz w:val="22"/>
              </w:rPr>
              <w:t>More Active on Buybacks</w:t>
            </w:r>
          </w:p>
        </w:tc>
      </w:tr>
      <w:tr>
        <w:tc>
          <w:tcPr>
            <w:tcW w:type="dxa" w:w="2160"/>
          </w:tcPr>
          <w:p>
            <w:r>
              <w:rPr>
                <w:rFonts w:ascii="Calibri" w:hAnsi="Calibri"/>
                <w:sz w:val="22"/>
              </w:rPr>
              <w:t>Trade Policy / Imports</w:t>
            </w:r>
          </w:p>
        </w:tc>
        <w:tc>
          <w:tcPr>
            <w:tcW w:type="dxa" w:w="2160"/>
          </w:tcPr>
          <w:p>
            <w:r>
              <w:rPr>
                <w:rFonts w:ascii="Calibri" w:hAnsi="Calibri"/>
                <w:sz w:val="22"/>
              </w:rPr>
              <w:t>Section 232 and executive orders seen as very helpful; import share declining; circumvention cases filed</w:t>
            </w:r>
          </w:p>
        </w:tc>
        <w:tc>
          <w:tcPr>
            <w:tcW w:type="dxa" w:w="2160"/>
          </w:tcPr>
          <w:p>
            <w:r>
              <w:rPr>
                <w:rFonts w:ascii="Calibri" w:hAnsi="Calibri"/>
                <w:sz w:val="22"/>
              </w:rPr>
              <w:t>Persistently low steel inventories and strong order activity cited as evidence trade protections are working; no change in tone</w:t>
            </w:r>
          </w:p>
        </w:tc>
        <w:tc>
          <w:tcPr>
            <w:tcW w:type="dxa" w:w="2160"/>
          </w:tcPr>
          <w:p>
            <w:r>
              <w:rPr>
                <w:rFonts w:ascii="Calibri" w:hAnsi="Calibri"/>
                <w:b/>
                <w:color w:val="30A46C"/>
                <w:sz w:val="22"/>
              </w:rPr>
              <w:t>Unchanged / Positive</w:t>
            </w:r>
          </w:p>
        </w:tc>
      </w:tr>
    </w:tbl>
    <w:p>
      <w:r>
        <w:br w:type="page"/>
      </w:r>
    </w:p>
    <w:p>
      <w:pPr>
        <w:pStyle w:val="Heading2"/>
      </w:pPr>
      <w:r>
        <w:rPr>
          <w:rFonts w:ascii="Calibri" w:hAnsi="Calibri"/>
          <w:b/>
          <w:color w:val="3B4259"/>
          <w:sz w:val="28"/>
        </w:rPr>
        <w:t>4. Guidance vs. Estimate Revision Tracker</w:t>
      </w:r>
    </w:p>
    <w:p>
      <w:r>
        <w:rPr>
          <w:rFonts w:ascii="Calibri" w:hAnsi="Calibri"/>
          <w:b/>
          <w:color w:val="525866"/>
          <w:sz w:val="22"/>
        </w:rPr>
        <w:t xml:space="preserve">Key Takeaway: </w:t>
      </w:r>
      <w:r>
        <w:rPr>
          <w:rFonts w:ascii="Calibri" w:hAnsi="Calibri"/>
          <w:color w:val="525866"/>
          <w:sz w:val="22"/>
        </w:rPr>
        <w:t>Estimates have moved sharply higher since Q1 earnings — FY2026 EPS consensus is up ~9.5% from $15.05 to $16.48 — reflecting the Street's growing confidence in the steel margin expansion and aluminum ramp; the revision momentum is a positive signal, though it also means the bar has risen.</w:t>
      </w:r>
    </w:p>
    <w:tbl>
      <w:tblPr>
        <w:tblStyle w:val="TableGrid"/>
        <w:tblW w:type="auto" w:w="0"/>
        <w:tblLook w:firstColumn="1" w:firstRow="1" w:lastColumn="0" w:lastRow="0" w:noHBand="0" w:noVBand="1" w:val="04A0"/>
      </w:tblPr>
      <w:tblGrid>
        <w:gridCol w:w="1440"/>
        <w:gridCol w:w="1440"/>
        <w:gridCol w:w="1440"/>
        <w:gridCol w:w="1440"/>
        <w:gridCol w:w="1440"/>
        <w:gridCol w:w="1440"/>
      </w:tblGrid>
      <w:tr>
        <w:tc>
          <w:tcPr>
            <w:tcW w:type="dxa" w:w="1440"/>
            <w:shd w:val="clear" w:color="auto" w:fill="3B4259"/>
          </w:tcPr>
          <w:p>
            <w:r>
              <w:rPr>
                <w:rFonts w:ascii="Calibri" w:hAnsi="Calibri"/>
                <w:b/>
                <w:color w:val="FFFFFF"/>
                <w:sz w:val="22"/>
              </w:rPr>
              <w:t>KPI</w:t>
            </w:r>
          </w:p>
        </w:tc>
        <w:tc>
          <w:tcPr>
            <w:tcW w:type="dxa" w:w="1440"/>
            <w:shd w:val="clear" w:color="auto" w:fill="3B4259"/>
          </w:tcPr>
          <w:p>
            <w:r>
              <w:rPr>
                <w:rFonts w:ascii="Calibri" w:hAnsi="Calibri"/>
                <w:b/>
                <w:color w:val="FFFFFF"/>
                <w:sz w:val="22"/>
              </w:rPr>
              <w:t>Estimate at Q1 Earnings (Apr 25, 2026)</w:t>
            </w:r>
          </w:p>
        </w:tc>
        <w:tc>
          <w:tcPr>
            <w:tcW w:type="dxa" w:w="1440"/>
            <w:shd w:val="clear" w:color="auto" w:fill="3B4259"/>
          </w:tcPr>
          <w:p>
            <w:r>
              <w:rPr>
                <w:rFonts w:ascii="Calibri" w:hAnsi="Calibri"/>
                <w:b/>
                <w:color w:val="FFFFFF"/>
                <w:sz w:val="22"/>
              </w:rPr>
              <w:t>Current Estimate (Jul 18, 2026)</w:t>
            </w:r>
          </w:p>
        </w:tc>
        <w:tc>
          <w:tcPr>
            <w:tcW w:type="dxa" w:w="1440"/>
            <w:shd w:val="clear" w:color="auto" w:fill="3B4259"/>
          </w:tcPr>
          <w:p>
            <w:r>
              <w:rPr>
                <w:rFonts w:ascii="Calibri" w:hAnsi="Calibri"/>
                <w:b/>
                <w:color w:val="FFFFFF"/>
                <w:sz w:val="22"/>
              </w:rPr>
              <w:t>Change ($)</w:t>
            </w:r>
          </w:p>
        </w:tc>
        <w:tc>
          <w:tcPr>
            <w:tcW w:type="dxa" w:w="1440"/>
            <w:shd w:val="clear" w:color="auto" w:fill="3B4259"/>
          </w:tcPr>
          <w:p>
            <w:r>
              <w:rPr>
                <w:rFonts w:ascii="Calibri" w:hAnsi="Calibri"/>
                <w:b/>
                <w:color w:val="FFFFFF"/>
                <w:sz w:val="22"/>
              </w:rPr>
              <w:t>Change (%)</w:t>
            </w:r>
          </w:p>
        </w:tc>
        <w:tc>
          <w:tcPr>
            <w:tcW w:type="dxa" w:w="1440"/>
            <w:shd w:val="clear" w:color="auto" w:fill="3B4259"/>
          </w:tcPr>
          <w:p>
            <w:r>
              <w:rPr>
                <w:rFonts w:ascii="Calibri" w:hAnsi="Calibri"/>
                <w:b/>
                <w:color w:val="FFFFFF"/>
                <w:sz w:val="22"/>
              </w:rPr>
              <w:t>Direction</w:t>
            </w:r>
          </w:p>
        </w:tc>
      </w:tr>
      <w:tr>
        <w:tc>
          <w:tcPr>
            <w:tcW w:type="dxa" w:w="1440"/>
          </w:tcPr>
          <w:p>
            <w:r>
              <w:rPr>
                <w:rFonts w:ascii="Calibri" w:hAnsi="Calibri"/>
                <w:sz w:val="22"/>
              </w:rPr>
              <w:t>Q2 2026 EPS — Diluted Operating ($)</w:t>
            </w:r>
          </w:p>
        </w:tc>
        <w:tc>
          <w:tcPr>
            <w:tcW w:type="dxa" w:w="1440"/>
          </w:tcPr>
          <w:p>
            <w:r>
              <w:rPr>
                <w:rFonts w:ascii="Calibri" w:hAnsi="Calibri"/>
                <w:sz w:val="22"/>
              </w:rPr>
              <w:t>$4.06</w:t>
            </w:r>
          </w:p>
        </w:tc>
        <w:tc>
          <w:tcPr>
            <w:tcW w:type="dxa" w:w="1440"/>
          </w:tcPr>
          <w:p>
            <w:r>
              <w:rPr>
                <w:rFonts w:ascii="Calibri" w:hAnsi="Calibri"/>
                <w:sz w:val="22"/>
              </w:rPr>
              <w:t>$3.64</w:t>
            </w:r>
          </w:p>
        </w:tc>
        <w:tc>
          <w:tcPr>
            <w:tcW w:type="dxa" w:w="1440"/>
          </w:tcPr>
          <w:p>
            <w:r>
              <w:rPr>
                <w:rFonts w:ascii="Calibri" w:hAnsi="Calibri"/>
                <w:sz w:val="22"/>
              </w:rPr>
              <w:t>-$0.42</w:t>
            </w:r>
          </w:p>
        </w:tc>
        <w:tc>
          <w:tcPr>
            <w:tcW w:type="dxa" w:w="1440"/>
          </w:tcPr>
          <w:p>
            <w:r>
              <w:rPr>
                <w:rFonts w:ascii="Calibri" w:hAnsi="Calibri"/>
                <w:sz w:val="22"/>
              </w:rPr>
              <w:t>-10.4%</w:t>
            </w:r>
          </w:p>
        </w:tc>
        <w:tc>
          <w:tcPr>
            <w:tcW w:type="dxa" w:w="1440"/>
          </w:tcPr>
          <w:p>
            <w:r>
              <w:rPr>
                <w:rFonts w:ascii="Calibri" w:hAnsi="Calibri"/>
                <w:b/>
                <w:color w:val="E5484D"/>
                <w:sz w:val="22"/>
              </w:rPr>
              <w:t>↓ Revised Down</w:t>
            </w:r>
          </w:p>
        </w:tc>
      </w:tr>
      <w:tr>
        <w:tc>
          <w:tcPr>
            <w:tcW w:type="dxa" w:w="1440"/>
          </w:tcPr>
          <w:p>
            <w:r>
              <w:rPr>
                <w:rFonts w:ascii="Calibri" w:hAnsi="Calibri"/>
                <w:sz w:val="22"/>
              </w:rPr>
              <w:t>Q2 2026 Net Sales ($B)</w:t>
            </w:r>
          </w:p>
        </w:tc>
        <w:tc>
          <w:tcPr>
            <w:tcW w:type="dxa" w:w="1440"/>
          </w:tcPr>
          <w:p>
            <w:r>
              <w:rPr>
                <w:rFonts w:ascii="Calibri" w:hAnsi="Calibri"/>
                <w:sz w:val="22"/>
              </w:rPr>
              <w:t>$5.63B</w:t>
            </w:r>
          </w:p>
        </w:tc>
        <w:tc>
          <w:tcPr>
            <w:tcW w:type="dxa" w:w="1440"/>
          </w:tcPr>
          <w:p>
            <w:r>
              <w:rPr>
                <w:rFonts w:ascii="Calibri" w:hAnsi="Calibri"/>
                <w:sz w:val="22"/>
              </w:rPr>
              <w:t>$5.65B</w:t>
            </w:r>
          </w:p>
        </w:tc>
        <w:tc>
          <w:tcPr>
            <w:tcW w:type="dxa" w:w="1440"/>
          </w:tcPr>
          <w:p>
            <w:r>
              <w:rPr>
                <w:rFonts w:ascii="Calibri" w:hAnsi="Calibri"/>
                <w:sz w:val="22"/>
              </w:rPr>
              <w:t>+$0.02B</w:t>
            </w:r>
          </w:p>
        </w:tc>
        <w:tc>
          <w:tcPr>
            <w:tcW w:type="dxa" w:w="1440"/>
          </w:tcPr>
          <w:p>
            <w:r>
              <w:rPr>
                <w:rFonts w:ascii="Calibri" w:hAnsi="Calibri"/>
                <w:sz w:val="22"/>
              </w:rPr>
              <w:t>+0.4%</w:t>
            </w:r>
          </w:p>
        </w:tc>
        <w:tc>
          <w:tcPr>
            <w:tcW w:type="dxa" w:w="1440"/>
          </w:tcPr>
          <w:p>
            <w:r>
              <w:rPr>
                <w:rFonts w:ascii="Calibri" w:hAnsi="Calibri"/>
                <w:b/>
                <w:color w:val="002FA7"/>
                <w:sz w:val="22"/>
              </w:rPr>
              <w:t>→ Stable</w:t>
            </w:r>
          </w:p>
        </w:tc>
      </w:tr>
      <w:tr>
        <w:tc>
          <w:tcPr>
            <w:tcW w:type="dxa" w:w="1440"/>
          </w:tcPr>
          <w:p>
            <w:r>
              <w:rPr>
                <w:rFonts w:ascii="Calibri" w:hAnsi="Calibri"/>
                <w:sz w:val="22"/>
              </w:rPr>
              <w:t>Q2 2026 EBITDA ($M)</w:t>
            </w:r>
          </w:p>
        </w:tc>
        <w:tc>
          <w:tcPr>
            <w:tcW w:type="dxa" w:w="1440"/>
          </w:tcPr>
          <w:p>
            <w:r>
              <w:rPr>
                <w:rFonts w:ascii="Calibri" w:hAnsi="Calibri"/>
                <w:sz w:val="22"/>
              </w:rPr>
              <w:t>$941M</w:t>
            </w:r>
          </w:p>
        </w:tc>
        <w:tc>
          <w:tcPr>
            <w:tcW w:type="dxa" w:w="1440"/>
          </w:tcPr>
          <w:p>
            <w:r>
              <w:rPr>
                <w:rFonts w:ascii="Calibri" w:hAnsi="Calibri"/>
                <w:sz w:val="22"/>
              </w:rPr>
              <w:t>$875M</w:t>
            </w:r>
          </w:p>
        </w:tc>
        <w:tc>
          <w:tcPr>
            <w:tcW w:type="dxa" w:w="1440"/>
          </w:tcPr>
          <w:p>
            <w:r>
              <w:rPr>
                <w:rFonts w:ascii="Calibri" w:hAnsi="Calibri"/>
                <w:sz w:val="22"/>
              </w:rPr>
              <w:t>-$66M</w:t>
            </w:r>
          </w:p>
        </w:tc>
        <w:tc>
          <w:tcPr>
            <w:tcW w:type="dxa" w:w="1440"/>
          </w:tcPr>
          <w:p>
            <w:r>
              <w:rPr>
                <w:rFonts w:ascii="Calibri" w:hAnsi="Calibri"/>
                <w:sz w:val="22"/>
              </w:rPr>
              <w:t>-7.0%</w:t>
            </w:r>
          </w:p>
        </w:tc>
        <w:tc>
          <w:tcPr>
            <w:tcW w:type="dxa" w:w="1440"/>
          </w:tcPr>
          <w:p>
            <w:r>
              <w:rPr>
                <w:rFonts w:ascii="Calibri" w:hAnsi="Calibri"/>
                <w:b/>
                <w:color w:val="E5484D"/>
                <w:sz w:val="22"/>
              </w:rPr>
              <w:t>↓ Revised Down</w:t>
            </w:r>
          </w:p>
        </w:tc>
      </w:tr>
      <w:tr>
        <w:tc>
          <w:tcPr>
            <w:tcW w:type="dxa" w:w="1440"/>
          </w:tcPr>
          <w:p>
            <w:r>
              <w:rPr>
                <w:rFonts w:ascii="Calibri" w:hAnsi="Calibri"/>
                <w:sz w:val="22"/>
              </w:rPr>
              <w:t>FY2026 EPS — Diluted Operating ($)</w:t>
            </w:r>
          </w:p>
        </w:tc>
        <w:tc>
          <w:tcPr>
            <w:tcW w:type="dxa" w:w="1440"/>
          </w:tcPr>
          <w:p>
            <w:r>
              <w:rPr>
                <w:rFonts w:ascii="Calibri" w:hAnsi="Calibri"/>
                <w:sz w:val="22"/>
              </w:rPr>
              <w:t>$15.05</w:t>
            </w:r>
          </w:p>
        </w:tc>
        <w:tc>
          <w:tcPr>
            <w:tcW w:type="dxa" w:w="1440"/>
          </w:tcPr>
          <w:p>
            <w:r>
              <w:rPr>
                <w:rFonts w:ascii="Calibri" w:hAnsi="Calibri"/>
                <w:sz w:val="22"/>
              </w:rPr>
              <w:t>$16.48</w:t>
            </w:r>
          </w:p>
        </w:tc>
        <w:tc>
          <w:tcPr>
            <w:tcW w:type="dxa" w:w="1440"/>
          </w:tcPr>
          <w:p>
            <w:r>
              <w:rPr>
                <w:rFonts w:ascii="Calibri" w:hAnsi="Calibri"/>
                <w:sz w:val="22"/>
              </w:rPr>
              <w:t>+$1.43</w:t>
            </w:r>
          </w:p>
        </w:tc>
        <w:tc>
          <w:tcPr>
            <w:tcW w:type="dxa" w:w="1440"/>
          </w:tcPr>
          <w:p>
            <w:r>
              <w:rPr>
                <w:rFonts w:ascii="Calibri" w:hAnsi="Calibri"/>
                <w:sz w:val="22"/>
              </w:rPr>
              <w:t>+9.5%</w:t>
            </w:r>
          </w:p>
        </w:tc>
        <w:tc>
          <w:tcPr>
            <w:tcW w:type="dxa" w:w="1440"/>
          </w:tcPr>
          <w:p>
            <w:r>
              <w:rPr>
                <w:rFonts w:ascii="Calibri" w:hAnsi="Calibri"/>
                <w:b/>
                <w:color w:val="30A46C"/>
                <w:sz w:val="22"/>
              </w:rPr>
              <w:t>↑ Revised Up</w:t>
            </w:r>
          </w:p>
        </w:tc>
      </w:tr>
      <w:tr>
        <w:tc>
          <w:tcPr>
            <w:tcW w:type="dxa" w:w="1440"/>
          </w:tcPr>
          <w:p>
            <w:r>
              <w:rPr>
                <w:rFonts w:ascii="Calibri" w:hAnsi="Calibri"/>
                <w:sz w:val="22"/>
              </w:rPr>
              <w:t>FY2026 Net Sales ($B)</w:t>
            </w:r>
          </w:p>
        </w:tc>
        <w:tc>
          <w:tcPr>
            <w:tcW w:type="dxa" w:w="1440"/>
          </w:tcPr>
          <w:p>
            <w:r>
              <w:rPr>
                <w:rFonts w:ascii="Calibri" w:hAnsi="Calibri"/>
                <w:sz w:val="22"/>
              </w:rPr>
              <w:t>$22.26B</w:t>
            </w:r>
          </w:p>
        </w:tc>
        <w:tc>
          <w:tcPr>
            <w:tcW w:type="dxa" w:w="1440"/>
          </w:tcPr>
          <w:p>
            <w:r>
              <w:rPr>
                <w:rFonts w:ascii="Calibri" w:hAnsi="Calibri"/>
                <w:sz w:val="22"/>
              </w:rPr>
              <w:t>$23.01B</w:t>
            </w:r>
          </w:p>
        </w:tc>
        <w:tc>
          <w:tcPr>
            <w:tcW w:type="dxa" w:w="1440"/>
          </w:tcPr>
          <w:p>
            <w:r>
              <w:rPr>
                <w:rFonts w:ascii="Calibri" w:hAnsi="Calibri"/>
                <w:sz w:val="22"/>
              </w:rPr>
              <w:t>+$0.75B</w:t>
            </w:r>
          </w:p>
        </w:tc>
        <w:tc>
          <w:tcPr>
            <w:tcW w:type="dxa" w:w="1440"/>
          </w:tcPr>
          <w:p>
            <w:r>
              <w:rPr>
                <w:rFonts w:ascii="Calibri" w:hAnsi="Calibri"/>
                <w:sz w:val="22"/>
              </w:rPr>
              <w:t>+3.4%</w:t>
            </w:r>
          </w:p>
        </w:tc>
        <w:tc>
          <w:tcPr>
            <w:tcW w:type="dxa" w:w="1440"/>
          </w:tcPr>
          <w:p>
            <w:r>
              <w:rPr>
                <w:rFonts w:ascii="Calibri" w:hAnsi="Calibri"/>
                <w:b/>
                <w:color w:val="30A46C"/>
                <w:sz w:val="22"/>
              </w:rPr>
              <w:t>↑ Revised Up</w:t>
            </w:r>
          </w:p>
        </w:tc>
      </w:tr>
      <w:tr>
        <w:tc>
          <w:tcPr>
            <w:tcW w:type="dxa" w:w="1440"/>
          </w:tcPr>
          <w:p>
            <w:r>
              <w:rPr>
                <w:rFonts w:ascii="Calibri" w:hAnsi="Calibri"/>
                <w:sz w:val="22"/>
              </w:rPr>
              <w:t>FY2026 EBITDA ($M)</w:t>
            </w:r>
          </w:p>
        </w:tc>
        <w:tc>
          <w:tcPr>
            <w:tcW w:type="dxa" w:w="1440"/>
          </w:tcPr>
          <w:p>
            <w:r>
              <w:rPr>
                <w:rFonts w:ascii="Calibri" w:hAnsi="Calibri"/>
                <w:sz w:val="22"/>
              </w:rPr>
              <w:t>$3,524M</w:t>
            </w:r>
          </w:p>
        </w:tc>
        <w:tc>
          <w:tcPr>
            <w:tcW w:type="dxa" w:w="1440"/>
          </w:tcPr>
          <w:p>
            <w:r>
              <w:rPr>
                <w:rFonts w:ascii="Calibri" w:hAnsi="Calibri"/>
                <w:sz w:val="22"/>
              </w:rPr>
              <w:t>$3,828M</w:t>
            </w:r>
          </w:p>
        </w:tc>
        <w:tc>
          <w:tcPr>
            <w:tcW w:type="dxa" w:w="1440"/>
          </w:tcPr>
          <w:p>
            <w:r>
              <w:rPr>
                <w:rFonts w:ascii="Calibri" w:hAnsi="Calibri"/>
                <w:sz w:val="22"/>
              </w:rPr>
              <w:t>+$304M</w:t>
            </w:r>
          </w:p>
        </w:tc>
        <w:tc>
          <w:tcPr>
            <w:tcW w:type="dxa" w:w="1440"/>
          </w:tcPr>
          <w:p>
            <w:r>
              <w:rPr>
                <w:rFonts w:ascii="Calibri" w:hAnsi="Calibri"/>
                <w:sz w:val="22"/>
              </w:rPr>
              <w:t>+8.6%</w:t>
            </w:r>
          </w:p>
        </w:tc>
        <w:tc>
          <w:tcPr>
            <w:tcW w:type="dxa" w:w="1440"/>
          </w:tcPr>
          <w:p>
            <w:r>
              <w:rPr>
                <w:rFonts w:ascii="Calibri" w:hAnsi="Calibri"/>
                <w:b/>
                <w:color w:val="30A46C"/>
                <w:sz w:val="22"/>
              </w:rPr>
              <w:t>↑ Revised Up</w:t>
            </w:r>
          </w:p>
        </w:tc>
      </w:tr>
    </w:tbl>
    <w:p>
      <w:r>
        <w:rPr>
          <w:rFonts w:ascii="Calibri" w:hAnsi="Calibri"/>
          <w:b/>
          <w:color w:val="525866"/>
          <w:sz w:val="22"/>
        </w:rPr>
        <w:t xml:space="preserve">Note: </w:t>
      </w:r>
      <w:r>
        <w:rPr>
          <w:rFonts w:ascii="Calibri" w:hAnsi="Calibri"/>
          <w:color w:val="525866"/>
          <w:sz w:val="22"/>
        </w:rPr>
        <w:t>The Q2 2026 EPS and EBITDA estimates were revised down from the initial post-Q1 consensus (which may have reflected optimistic initial reactions), while full-year estimates moved sharply higher — suggesting the Street recalibrated Q2 expectations after the June 17 guidance update (which included the $16M write-down) while simultaneously raising the full-year bar on the strength of the steel and aluminum outlook.</w:t>
      </w:r>
    </w:p>
    <w:p>
      <w:r>
        <w:rPr>
          <w:rFonts w:ascii="Calibri" w:hAnsi="Calibri"/>
          <w:i/>
          <w:color w:val="525866"/>
          <w:sz w:val="22"/>
        </w:rPr>
        <w:t>Source: Visible Alpha Consensus and Actuals Data (as-of dates: April 25, 2026 and July 18, 2026).</w:t>
      </w:r>
    </w:p>
    <w:p>
      <w:r>
        <w:br w:type="page"/>
      </w:r>
    </w:p>
    <w:p>
      <w:pPr>
        <w:pStyle w:val="Heading2"/>
      </w:pPr>
      <w:r>
        <w:rPr>
          <w:rFonts w:ascii="Calibri" w:hAnsi="Calibri"/>
          <w:b/>
          <w:color w:val="3B4259"/>
          <w:sz w:val="28"/>
        </w:rPr>
        <w:t>5. Stock Performance</w:t>
      </w:r>
    </w:p>
    <w:p>
      <w:r>
        <w:rPr>
          <w:rFonts w:ascii="Calibri" w:hAnsi="Calibri"/>
          <w:b/>
          <w:color w:val="525866"/>
          <w:sz w:val="22"/>
        </w:rPr>
        <w:t xml:space="preserve">Key Takeaway: </w:t>
      </w:r>
      <w:r>
        <w:rPr>
          <w:rFonts w:ascii="Calibri" w:hAnsi="Calibri"/>
          <w:color w:val="525866"/>
          <w:sz w:val="22"/>
        </w:rPr>
        <w:t>STLD rallied +5.2% on Q1 earnings day (Apr 21) and continued higher to a peak of $282.76 on June 12, but has since pulled back ~17% to ~$235 — largely driven by the June 17 guidance update (which included the $16M write-down) and broader steel sector softness; heading into Q2 earnings, the stock is up only ~7% since Q1 earnings vs. NUE's +13.7%, suggesting STLD has underperformed its closest peer and may be pricing in a more cautious outcome.</w:t>
      </w:r>
    </w:p>
    <w:p>
      <w:r>
        <w:drawing>
          <wp:inline xmlns:a="http://schemas.openxmlformats.org/drawingml/2006/main" xmlns:pic="http://schemas.openxmlformats.org/drawingml/2006/picture">
            <wp:extent cx="4572000" cy="3265714"/>
            <wp:docPr id="1" name="Picture 1"/>
            <wp:cNvGraphicFramePr>
              <a:graphicFrameLocks noChangeAspect="1"/>
            </wp:cNvGraphicFramePr>
            <a:graphic>
              <a:graphicData uri="http://schemas.openxmlformats.org/drawingml/2006/picture">
                <pic:pic>
                  <pic:nvPicPr>
                    <pic:cNvPr id="0" name="image.png"/>
                    <pic:cNvPicPr/>
                  </pic:nvPicPr>
                  <pic:blipFill>
                    <a:blip r:embed="rId9"/>
                    <a:stretch>
                      <a:fillRect/>
                    </a:stretch>
                  </pic:blipFill>
                  <pic:spPr>
                    <a:xfrm>
                      <a:off x="0" y="0"/>
                      <a:ext cx="4572000" cy="3265714"/>
                    </a:xfrm>
                    <a:prstGeom prst="rect"/>
                  </pic:spPr>
                </pic:pic>
              </a:graphicData>
            </a:graphic>
          </wp:inline>
        </w:drawing>
      </w:r>
    </w:p>
    <w:p>
      <w:pPr>
        <w:jc w:val="center"/>
      </w:pPr>
      <w:r>
        <w:rPr>
          <w:i/>
          <w:color w:val="666666"/>
          <w:sz w:val="18"/>
        </w:rPr>
        <w:t>STLD vs. NUE, SLX (Steel ETF), and S&amp;P 500 (SPY) — Indexed to 100 at Q1 2026 Earnings (Apr 21, 2026). Red dashed line = Q2 2026 guidance update (Jun 17, 2026). Source: Stock Price Data.</w:t>
      </w:r>
    </w:p>
    <w:p>
      <w:pPr>
        <w:pStyle w:val="ListBullet"/>
        <w:ind w:left="360" w:hanging="360"/>
      </w:pPr>
      <w:r>
        <w:rPr>
          <w:rFonts w:ascii="Calibri" w:hAnsi="Calibri"/>
          <w:b/>
          <w:color w:val="525866"/>
          <w:sz w:val="22"/>
        </w:rPr>
        <w:t xml:space="preserve">Earnings day reaction (Apr 20 close → Apr 21 close): </w:t>
      </w:r>
      <w:r>
        <w:rPr>
          <w:rFonts w:ascii="Calibri" w:hAnsi="Calibri"/>
          <w:color w:val="525866"/>
          <w:sz w:val="22"/>
        </w:rPr>
        <w:t>$209.35 → $220.21, +$10.86 / +5.2%</w:t>
      </w:r>
    </w:p>
    <w:p>
      <w:pPr>
        <w:pStyle w:val="ListBullet"/>
        <w:ind w:left="360" w:hanging="360"/>
      </w:pPr>
      <w:r>
        <w:rPr>
          <w:rFonts w:ascii="Calibri" w:hAnsi="Calibri"/>
          <w:b/>
          <w:color w:val="525866"/>
          <w:sz w:val="22"/>
        </w:rPr>
        <w:t xml:space="preserve">Peak since earnings: </w:t>
      </w:r>
      <w:r>
        <w:rPr>
          <w:rFonts w:ascii="Calibri" w:hAnsi="Calibri"/>
          <w:color w:val="525866"/>
          <w:sz w:val="22"/>
        </w:rPr>
        <w:t>$282.76 on June 12, 2026 (+35.1% from earnings day close)</w:t>
      </w:r>
    </w:p>
    <w:p>
      <w:pPr>
        <w:pStyle w:val="ListBullet"/>
        <w:ind w:left="360" w:hanging="360"/>
      </w:pPr>
      <w:r>
        <w:rPr>
          <w:rFonts w:ascii="Calibri" w:hAnsi="Calibri"/>
          <w:b/>
          <w:color w:val="525866"/>
          <w:sz w:val="22"/>
        </w:rPr>
        <w:t xml:space="preserve">Current price (Jul 17 close): </w:t>
      </w:r>
      <w:r>
        <w:rPr>
          <w:rFonts w:ascii="Calibri" w:hAnsi="Calibri"/>
          <w:color w:val="525866"/>
          <w:sz w:val="22"/>
        </w:rPr>
        <w:t>$235.55, +7.0% since earnings day</w:t>
      </w:r>
    </w:p>
    <w:p>
      <w:pPr>
        <w:pStyle w:val="ListBullet"/>
        <w:ind w:left="360" w:hanging="360"/>
      </w:pPr>
      <w:r>
        <w:rPr>
          <w:rFonts w:ascii="Calibri" w:hAnsi="Calibri"/>
          <w:b/>
          <w:color w:val="525866"/>
          <w:sz w:val="22"/>
        </w:rPr>
        <w:t xml:space="preserve">NUE since earnings: </w:t>
      </w:r>
      <w:r>
        <w:rPr>
          <w:rFonts w:ascii="Calibri" w:hAnsi="Calibri"/>
          <w:color w:val="525866"/>
          <w:sz w:val="22"/>
        </w:rPr>
        <w:t>+13.7% (outperforming STLD)</w:t>
      </w:r>
    </w:p>
    <w:p>
      <w:pPr>
        <w:pStyle w:val="ListBullet"/>
        <w:ind w:left="360" w:hanging="360"/>
      </w:pPr>
      <w:r>
        <w:rPr>
          <w:rFonts w:ascii="Calibri" w:hAnsi="Calibri"/>
          <w:b/>
          <w:color w:val="525866"/>
          <w:sz w:val="22"/>
        </w:rPr>
        <w:t xml:space="preserve">SLX (Steel ETF) since earnings: </w:t>
      </w:r>
      <w:r>
        <w:rPr>
          <w:rFonts w:ascii="Calibri" w:hAnsi="Calibri"/>
          <w:color w:val="525866"/>
          <w:sz w:val="22"/>
        </w:rPr>
        <w:t>-0.5% (STLD outperforming the sector ETF)</w:t>
      </w:r>
    </w:p>
    <w:p>
      <w:pPr>
        <w:pStyle w:val="ListBullet"/>
        <w:ind w:left="360" w:hanging="360"/>
      </w:pPr>
      <w:r>
        <w:rPr>
          <w:rFonts w:ascii="Calibri" w:hAnsi="Calibri"/>
          <w:b/>
          <w:color w:val="525866"/>
          <w:sz w:val="22"/>
        </w:rPr>
        <w:t xml:space="preserve">S&amp;P 500 (SPY) since earnings: </w:t>
      </w:r>
      <w:r>
        <w:rPr>
          <w:rFonts w:ascii="Calibri" w:hAnsi="Calibri"/>
          <w:color w:val="525866"/>
          <w:sz w:val="22"/>
        </w:rPr>
        <w:t>+5.6% (STLD roughly in-line with the market)</w:t>
      </w:r>
    </w:p>
    <w:p>
      <w:pPr>
        <w:pStyle w:val="ListBullet"/>
        <w:ind w:left="360" w:hanging="360"/>
      </w:pPr>
      <w:r>
        <w:rPr>
          <w:rFonts w:ascii="Calibri" w:hAnsi="Calibri"/>
          <w:b/>
          <w:color w:val="525866"/>
          <w:sz w:val="22"/>
        </w:rPr>
        <w:t xml:space="preserve">Key inflection: </w:t>
      </w:r>
      <w:r>
        <w:rPr>
          <w:rFonts w:ascii="Calibri" w:hAnsi="Calibri"/>
          <w:color w:val="525866"/>
          <w:sz w:val="22"/>
        </w:rPr>
        <w:t>The June 17 guidance update (which included the $16M Arizona write-down) triggered a sharp sell-off from the $270+ range to ~$250, and the stock has continued to drift lower through late June/early July as the broader steel sector softened.</w:t>
      </w:r>
    </w:p>
    <w:p>
      <w:r>
        <w:br w:type="page"/>
      </w:r>
    </w:p>
    <w:p>
      <w:pPr>
        <w:pStyle w:val="Heading2"/>
      </w:pPr>
      <w:r>
        <w:rPr>
          <w:rFonts w:ascii="Calibri" w:hAnsi="Calibri"/>
          <w:b/>
          <w:color w:val="3B4259"/>
          <w:sz w:val="28"/>
        </w:rPr>
        <w:t>6. Peer Commentaries — Q2 2026 Read-Throughs</w:t>
      </w:r>
    </w:p>
    <w:p>
      <w:r>
        <w:rPr>
          <w:rFonts w:ascii="Calibri" w:hAnsi="Calibri"/>
          <w:b/>
          <w:color w:val="525866"/>
          <w:sz w:val="22"/>
        </w:rPr>
        <w:t xml:space="preserve">Key Takeaway: </w:t>
      </w:r>
      <w:r>
        <w:rPr>
          <w:rFonts w:ascii="Calibri" w:hAnsi="Calibri"/>
          <w:color w:val="525866"/>
          <w:sz w:val="22"/>
        </w:rPr>
        <w:t>Peer commentary from the last 60 days is uniformly constructive for STLD's Q2 setup — Nucor's Q2 guidance (Jun 17) confirmed higher steel prices and stable volumes across the industry, CMC's fiscal Q3 2026 earnings (Jun 25) validated strong demand and improving metal margins heading into the summer, and Reliance's Q1 2026 call (Apr 23) confirmed record shipments and rising customer optimism; all three point to a favorable steel market backdrop for STLD's Q2 print.</w:t>
      </w:r>
    </w:p>
    <w:p>
      <w:pPr>
        <w:pStyle w:val="Heading3"/>
      </w:pPr>
      <w:r>
        <w:rPr>
          <w:rFonts w:ascii="Calibri" w:hAnsi="Calibri"/>
          <w:b/>
          <w:color w:val="3B4259"/>
          <w:sz w:val="24"/>
        </w:rPr>
        <w:t>Nucor Corporation (NUE) — Q2 2026 Guidance Update (June 17, 2026)</w:t>
      </w:r>
    </w:p>
    <w:p>
      <w:r>
        <w:rPr>
          <w:rFonts w:ascii="Calibri" w:hAnsi="Calibri"/>
          <w:b/>
          <w:color w:val="525866"/>
          <w:sz w:val="22"/>
        </w:rPr>
        <w:t xml:space="preserve">Relevance: </w:t>
      </w:r>
      <w:r>
        <w:rPr>
          <w:rFonts w:ascii="Calibri" w:hAnsi="Calibri"/>
          <w:color w:val="525866"/>
          <w:sz w:val="22"/>
        </w:rPr>
        <w:t>Nucor is STLD's closest domestic steel peer and issued its Q2 2026 guidance on the same day as STLD (June 17), providing a direct read-through on industry-wide steel market conditions for the current reporting quarter.</w:t>
      </w:r>
    </w:p>
    <w:p>
      <w:r>
        <w:rPr>
          <w:rFonts w:ascii="Calibri" w:hAnsi="Calibri"/>
          <w:color w:val="525866"/>
          <w:sz w:val="22"/>
        </w:rPr>
        <w:t>Key Read-Throughs for STLD Q2 2026:</w:t>
      </w:r>
    </w:p>
    <w:p>
      <w:pPr>
        <w:pStyle w:val="ListBullet"/>
        <w:ind w:left="360" w:hanging="360"/>
      </w:pPr>
      <w:r>
        <w:rPr>
          <w:rFonts w:ascii="Calibri" w:hAnsi="Calibri"/>
          <w:b/>
          <w:color w:val="525866"/>
          <w:sz w:val="22"/>
        </w:rPr>
        <w:t xml:space="preserve">Steel pricing inflecting higher: </w:t>
      </w:r>
      <w:r>
        <w:rPr>
          <w:rFonts w:ascii="Calibri" w:hAnsi="Calibri"/>
          <w:color w:val="525866"/>
          <w:sz w:val="22"/>
        </w:rPr>
        <w:t>Nucor guided Q2 2026 EPS to $4.70–$4.80 (adjusted $4.50–$4.60 ex-Helion investment gain), a significant step-up from Q1's $3.23. The largest driver was the steel mills segment, where Nucor cited "higher average selling prices and stable volumes" — directly corroborating STLD's own guidance of metal margin expansion.</w:t>
      </w:r>
    </w:p>
    <w:p>
      <w:pPr>
        <w:pStyle w:val="ListBullet"/>
        <w:ind w:left="360" w:hanging="360"/>
      </w:pPr>
      <w:r>
        <w:rPr>
          <w:rFonts w:ascii="Calibri" w:hAnsi="Calibri"/>
          <w:b/>
          <w:color w:val="525866"/>
          <w:sz w:val="22"/>
        </w:rPr>
        <w:t xml:space="preserve">Raw material cost refunds as a tailwind: </w:t>
      </w:r>
      <w:r>
        <w:rPr>
          <w:rFonts w:ascii="Calibri" w:hAnsi="Calibri"/>
          <w:color w:val="525866"/>
          <w:sz w:val="22"/>
        </w:rPr>
        <w:t>Nucor noted ~$130M of cash refunds associated with prior periods' raw materials procurement costs benefiting Q2 COGS — a company-specific item, but it signals that scrap/raw material cost dynamics are broadly favorable in the quarter.</w:t>
      </w:r>
    </w:p>
    <w:p>
      <w:pPr>
        <w:pStyle w:val="ListBullet"/>
        <w:ind w:left="360" w:hanging="360"/>
      </w:pPr>
      <w:r>
        <w:rPr>
          <w:rFonts w:ascii="Calibri" w:hAnsi="Calibri"/>
          <w:b/>
          <w:color w:val="525866"/>
          <w:sz w:val="22"/>
        </w:rPr>
        <w:t xml:space="preserve">Steel products and downstream demand strong: </w:t>
      </w:r>
      <w:r>
        <w:rPr>
          <w:rFonts w:ascii="Calibri" w:hAnsi="Calibri"/>
          <w:color w:val="525866"/>
          <w:sz w:val="22"/>
        </w:rPr>
        <w:t>Nucor guided for higher earnings in steel products (increased volumes, slightly higher pricing) and raw materials (higher realized prices) — consistent with STLD's fabrication backlog commentary.</w:t>
      </w:r>
    </w:p>
    <w:p>
      <w:pPr>
        <w:pStyle w:val="ListBullet"/>
        <w:ind w:left="360" w:hanging="360"/>
      </w:pPr>
      <w:r>
        <w:rPr>
          <w:rFonts w:ascii="Calibri" w:hAnsi="Calibri"/>
          <w:b/>
          <w:color w:val="525866"/>
          <w:sz w:val="22"/>
        </w:rPr>
        <w:t xml:space="preserve">Active buybacks: </w:t>
      </w:r>
      <w:r>
        <w:rPr>
          <w:rFonts w:ascii="Calibri" w:hAnsi="Calibri"/>
          <w:color w:val="525866"/>
          <w:sz w:val="22"/>
        </w:rPr>
        <w:t>Nucor repurchased ~1.12M shares at ~$223/share in Q2 to date (as of June 17), returning ~$630M YTD — mirrors STLD's $170M Q2 buyback activity and signals sector-wide confidence in cash generation.</w:t>
      </w:r>
    </w:p>
    <w:p>
      <w:r>
        <w:rPr>
          <w:rFonts w:ascii="Calibri" w:hAnsi="Calibri"/>
          <w:b/>
          <w:color w:val="525866"/>
          <w:sz w:val="22"/>
        </w:rPr>
        <w:t xml:space="preserve">Bottom Line: </w:t>
      </w:r>
      <w:r>
        <w:rPr>
          <w:rFonts w:ascii="Calibri" w:hAnsi="Calibri"/>
          <w:color w:val="525866"/>
          <w:sz w:val="22"/>
        </w:rPr>
        <w:t>Nucor's Q2 guidance is a strong positive read-through for STLD — both companies are seeing the same steel market dynamics (higher prices, stable volumes, favorable demand), and Nucor's magnitude of earnings improvement (+46% QoQ) is consistent with STLD's guided ~27% sequential EPS growth.</w:t>
      </w:r>
    </w:p>
    <w:p>
      <w:pPr>
        <w:pStyle w:val="Heading3"/>
      </w:pPr>
      <w:r>
        <w:rPr>
          <w:rFonts w:ascii="Calibri" w:hAnsi="Calibri"/>
          <w:b/>
          <w:color w:val="3B4259"/>
          <w:sz w:val="24"/>
        </w:rPr>
        <w:t>Nucor Corporation (NUE) — Q1 2026 Earnings Call (April 28, 2026)</w:t>
      </w:r>
    </w:p>
    <w:p>
      <w:r>
        <w:rPr>
          <w:rFonts w:ascii="Calibri" w:hAnsi="Calibri"/>
          <w:b/>
          <w:color w:val="525866"/>
          <w:sz w:val="22"/>
        </w:rPr>
        <w:t xml:space="preserve">Relevance: </w:t>
      </w:r>
      <w:r>
        <w:rPr>
          <w:rFonts w:ascii="Calibri" w:hAnsi="Calibri"/>
          <w:color w:val="525866"/>
          <w:sz w:val="22"/>
        </w:rPr>
        <w:t>Nucor reported Q1 2026 results one week after STLD (April 28 vs. April 21), providing the first major peer data point for the current Q2 2026 reporting cycle. Commentary about Q2 outlook is directly applicable to STLD's current quarter.</w:t>
      </w:r>
    </w:p>
    <w:p>
      <w:r>
        <w:rPr>
          <w:rFonts w:ascii="Calibri" w:hAnsi="Calibri"/>
          <w:color w:val="525866"/>
          <w:sz w:val="22"/>
        </w:rPr>
        <w:t>Key Read-Throughs for STLD Q2 2026:</w:t>
      </w:r>
    </w:p>
    <w:p>
      <w:pPr>
        <w:pStyle w:val="ListBullet"/>
        <w:ind w:left="360" w:hanging="360"/>
      </w:pPr>
      <w:r>
        <w:rPr>
          <w:rFonts w:ascii="Calibri" w:hAnsi="Calibri"/>
          <w:b/>
          <w:color w:val="525866"/>
          <w:sz w:val="22"/>
        </w:rPr>
        <w:t xml:space="preserve">Record steel shipments validate demand: </w:t>
      </w:r>
      <w:r>
        <w:rPr>
          <w:rFonts w:ascii="Calibri" w:hAnsi="Calibri"/>
          <w:color w:val="525866"/>
          <w:sz w:val="22"/>
        </w:rPr>
        <w:t>Nucor achieved record steel mill shipments of 7 million tons in Q1 2026 (highest in company history), with backlogs up 20% from year-end to 4.7 million tons — the highest since Q2 2021. This directly corroborates STLD's own record Q1 shipments and supports the demand outlook for Q2.</w:t>
      </w:r>
    </w:p>
    <w:p>
      <w:pPr>
        <w:pStyle w:val="ListBullet"/>
        <w:ind w:left="360" w:hanging="360"/>
      </w:pPr>
      <w:r>
        <w:rPr>
          <w:rFonts w:ascii="Calibri" w:hAnsi="Calibri"/>
          <w:b/>
          <w:color w:val="525866"/>
          <w:sz w:val="22"/>
        </w:rPr>
        <w:t xml:space="preserve">Import share collapsing: </w:t>
      </w:r>
      <w:r>
        <w:rPr>
          <w:rFonts w:ascii="Calibri" w:hAnsi="Calibri"/>
          <w:color w:val="525866"/>
          <w:sz w:val="22"/>
        </w:rPr>
        <w:t>Import share of the U.S. finished steel market declined from over 22% in Q1 2025 to approximately 15% in Q1 2026, with Q2 tracking at 4 million tons or under vs. 9 million tons in 2024. This 5-million-ton domestic supply window is a structural tailwind for both NUE and STLD pricing power.</w:t>
      </w:r>
    </w:p>
    <w:p>
      <w:pPr>
        <w:pStyle w:val="ListBullet"/>
        <w:ind w:left="360" w:hanging="360"/>
      </w:pPr>
      <w:r>
        <w:rPr>
          <w:rFonts w:ascii="Calibri" w:hAnsi="Calibri"/>
          <w:b/>
          <w:color w:val="525866"/>
          <w:sz w:val="22"/>
        </w:rPr>
        <w:t xml:space="preserve">Q2 outlook: higher earnings across all three segments: </w:t>
      </w:r>
      <w:r>
        <w:rPr>
          <w:rFonts w:ascii="Calibri" w:hAnsi="Calibri"/>
          <w:color w:val="525866"/>
          <w:sz w:val="22"/>
        </w:rPr>
        <w:t>Nucor guided for higher Q2 consolidated earnings with improvement across all three operating segments — steel mills (stable volumes, increasing metal margins), steel products (higher volumes, stable pricing), and raw materials. This is a direct positive read-through for STLD's steel and fabrication segments.</w:t>
      </w:r>
    </w:p>
    <w:p>
      <w:pPr>
        <w:pStyle w:val="ListBullet"/>
        <w:ind w:left="360" w:hanging="360"/>
      </w:pPr>
      <w:r>
        <w:rPr>
          <w:rFonts w:ascii="Calibri" w:hAnsi="Calibri"/>
          <w:b/>
          <w:color w:val="525866"/>
          <w:sz w:val="22"/>
        </w:rPr>
        <w:t xml:space="preserve">"Slow and steady" pricing approach keeping market healthy: </w:t>
      </w:r>
      <w:r>
        <w:rPr>
          <w:rFonts w:ascii="Calibri" w:hAnsi="Calibri"/>
          <w:color w:val="525866"/>
          <w:sz w:val="22"/>
        </w:rPr>
        <w:t>Nucor's deliberate, demand-driven pricing strategy (consistent modest increases) has kept inventories lean and imports low — a market structure that benefits STLD's pricing realization on its lagging-contract flat-rolled business.</w:t>
      </w:r>
    </w:p>
    <w:p>
      <w:pPr>
        <w:pStyle w:val="ListBullet"/>
        <w:ind w:left="360" w:hanging="360"/>
      </w:pPr>
      <w:r>
        <w:rPr>
          <w:rFonts w:ascii="Calibri" w:hAnsi="Calibri"/>
          <w:b/>
          <w:color w:val="525866"/>
          <w:sz w:val="22"/>
        </w:rPr>
        <w:t xml:space="preserve">Key end markets: </w:t>
      </w:r>
      <w:r>
        <w:rPr>
          <w:rFonts w:ascii="Calibri" w:hAnsi="Calibri"/>
          <w:color w:val="525866"/>
          <w:sz w:val="22"/>
        </w:rPr>
        <w:t>Data centers, energy, border fence, and infrastructure cited as pockets of strength — all markets where STLD has significant exposure through its structural, rail, and fabrication businesses.</w:t>
      </w:r>
    </w:p>
    <w:p>
      <w:r>
        <w:rPr>
          <w:rFonts w:ascii="Calibri" w:hAnsi="Calibri"/>
          <w:b/>
          <w:color w:val="525866"/>
          <w:sz w:val="22"/>
        </w:rPr>
        <w:t xml:space="preserve">Bottom Line: </w:t>
      </w:r>
      <w:r>
        <w:rPr>
          <w:rFonts w:ascii="Calibri" w:hAnsi="Calibri"/>
          <w:color w:val="525866"/>
          <w:sz w:val="22"/>
        </w:rPr>
        <w:t>Nucor's Q1 2026 call was the first major confirmation that the steel market recovery was real and demand-driven, not speculative — setting the stage for the strong Q2 guidance that followed from both companies in June.</w:t>
      </w:r>
    </w:p>
    <w:p>
      <w:pPr>
        <w:pStyle w:val="Heading3"/>
      </w:pPr>
      <w:r>
        <w:rPr>
          <w:rFonts w:ascii="Calibri" w:hAnsi="Calibri"/>
          <w:b/>
          <w:color w:val="3B4259"/>
          <w:sz w:val="24"/>
        </w:rPr>
        <w:t>Commercial Metals Company (CMC) — Fiscal Q3 2026 Earnings Call (June 25, 2026)</w:t>
      </w:r>
    </w:p>
    <w:p>
      <w:r>
        <w:rPr>
          <w:rFonts w:ascii="Calibri" w:hAnsi="Calibri"/>
          <w:b/>
          <w:color w:val="525866"/>
          <w:sz w:val="22"/>
        </w:rPr>
        <w:t xml:space="preserve">Relevance: </w:t>
      </w:r>
      <w:r>
        <w:rPr>
          <w:rFonts w:ascii="Calibri" w:hAnsi="Calibri"/>
          <w:color w:val="525866"/>
          <w:sz w:val="22"/>
        </w:rPr>
        <w:t>CMC's fiscal Q3 2026 (ended May 31, 2026) overlaps with STLD's Q2 2026 calendar quarter, making this the most timely peer data point available. CMC is a long products-focused domestic steel producer with significant rebar and merchant bar exposure, providing a read-through on construction demand and metal spread dynamics.</w:t>
      </w:r>
    </w:p>
    <w:p>
      <w:r>
        <w:rPr>
          <w:rFonts w:ascii="Calibri" w:hAnsi="Calibri"/>
          <w:color w:val="525866"/>
          <w:sz w:val="22"/>
        </w:rPr>
        <w:t>Key Read-Throughs for STLD Q2 2026:</w:t>
      </w:r>
    </w:p>
    <w:p>
      <w:pPr>
        <w:pStyle w:val="ListBullet"/>
        <w:ind w:left="360" w:hanging="360"/>
      </w:pPr>
      <w:r>
        <w:rPr>
          <w:rFonts w:ascii="Calibri" w:hAnsi="Calibri"/>
          <w:b/>
          <w:color w:val="525866"/>
          <w:sz w:val="22"/>
        </w:rPr>
        <w:t xml:space="preserve">Demand is "good" and trending toward "great": </w:t>
      </w:r>
      <w:r>
        <w:rPr>
          <w:rFonts w:ascii="Calibri" w:hAnsi="Calibri"/>
          <w:color w:val="525866"/>
          <w:sz w:val="22"/>
        </w:rPr>
        <w:t>CMC's CEO noted apparent U.S. steel consumption is up 3.2% YTD, with long-term drivers (infrastructure, non-residential, mega projects) pointing to potential for "great" demand. More than 50% of IIJA funding is yet to be spent, supporting a multi-year construction pipeline — directly relevant to STLD's fabrication backlog.</w:t>
      </w:r>
    </w:p>
    <w:p>
      <w:pPr>
        <w:pStyle w:val="ListBullet"/>
        <w:ind w:left="360" w:hanging="360"/>
      </w:pPr>
      <w:r>
        <w:rPr>
          <w:rFonts w:ascii="Calibri" w:hAnsi="Calibri"/>
          <w:b/>
          <w:color w:val="525866"/>
          <w:sz w:val="22"/>
        </w:rPr>
        <w:t xml:space="preserve">Metal margins squeezed in CMC's Q3 but recovering in Q4: </w:t>
      </w:r>
      <w:r>
        <w:rPr>
          <w:rFonts w:ascii="Calibri" w:hAnsi="Calibri"/>
          <w:color w:val="525866"/>
          <w:sz w:val="22"/>
        </w:rPr>
        <w:t>CMC noted metal margins were "squeezed by the unexpected strength in scrap costs driven by war-related higher fuel costs" in fiscal Q3 (Feb–May 2026), with scrap costs up $28/ton sequentially. However, CMC guided for "improving pricing conditions with scrap costs remaining relatively stable" in fiscal Q4 (Jun–Aug 2026) — this is a mixed read-through: STLD's Q2 (Apr–Jun) may have faced similar scrap cost headwinds in the early part of the quarter, but the exit rate should be improving.</w:t>
      </w:r>
    </w:p>
    <w:p>
      <w:pPr>
        <w:pStyle w:val="ListBullet"/>
        <w:ind w:left="360" w:hanging="360"/>
      </w:pPr>
      <w:r>
        <w:rPr>
          <w:rFonts w:ascii="Calibri" w:hAnsi="Calibri"/>
          <w:b/>
          <w:color w:val="525866"/>
          <w:sz w:val="22"/>
        </w:rPr>
        <w:t xml:space="preserve">Price increases taking hold: </w:t>
      </w:r>
      <w:r>
        <w:rPr>
          <w:rFonts w:ascii="Calibri" w:hAnsi="Calibri"/>
          <w:color w:val="525866"/>
          <w:sz w:val="22"/>
        </w:rPr>
        <w:t>CMC confirmed previously announced steel price increases are "in the market, taking hold and yielding higher metal margins" and expects to "reestablish metal margins consistent with where they were prior to this past quarter" in fiscal Q4. This is consistent with STLD's guidance of metal margin expansion in Q2.</w:t>
      </w:r>
    </w:p>
    <w:p>
      <w:pPr>
        <w:pStyle w:val="ListBullet"/>
        <w:ind w:left="360" w:hanging="360"/>
      </w:pPr>
      <w:r>
        <w:rPr>
          <w:rFonts w:ascii="Calibri" w:hAnsi="Calibri"/>
          <w:b/>
          <w:color w:val="525866"/>
          <w:sz w:val="22"/>
        </w:rPr>
        <w:t xml:space="preserve">Mega project pipeline is a multi-year tailwind: </w:t>
      </w:r>
      <w:r>
        <w:rPr>
          <w:rFonts w:ascii="Calibri" w:hAnsi="Calibri"/>
          <w:color w:val="525866"/>
          <w:sz w:val="22"/>
        </w:rPr>
        <w:t>Data centers, semiconductor capacity, and energy networks are driving a growing pipeline of large-scale construction projects concentrated in the Sunbelt and East Coast — markets where STLD's fabrication business has significant exposure. CMC's institutional spending commentary ("very strong") is a positive read-through for STLD's fabrication backlog.</w:t>
      </w:r>
    </w:p>
    <w:p>
      <w:pPr>
        <w:pStyle w:val="ListBullet"/>
        <w:ind w:left="360" w:hanging="360"/>
      </w:pPr>
      <w:r>
        <w:rPr>
          <w:rFonts w:ascii="Calibri" w:hAnsi="Calibri"/>
          <w:b/>
          <w:color w:val="525866"/>
          <w:sz w:val="22"/>
        </w:rPr>
        <w:t xml:space="preserve">Supply side balanced: </w:t>
      </w:r>
      <w:r>
        <w:rPr>
          <w:rFonts w:ascii="Calibri" w:hAnsi="Calibri"/>
          <w:color w:val="525866"/>
          <w:sz w:val="22"/>
        </w:rPr>
        <w:t>CMC characterized the market as "balanced with incremental domestic capacity being absorbed while prices are trending higher" — a constructive supply/demand backdrop for STLD's pricing realization.</w:t>
      </w:r>
    </w:p>
    <w:p>
      <w:r>
        <w:rPr>
          <w:rFonts w:ascii="Calibri" w:hAnsi="Calibri"/>
          <w:b/>
          <w:color w:val="525866"/>
          <w:sz w:val="22"/>
        </w:rPr>
        <w:t xml:space="preserve">Bottom Line: </w:t>
      </w:r>
      <w:r>
        <w:rPr>
          <w:rFonts w:ascii="Calibri" w:hAnsi="Calibri"/>
          <w:color w:val="525866"/>
          <w:sz w:val="22"/>
        </w:rPr>
        <w:t>CMC's most recent earnings (June 25) are the freshest peer data point and confirm that the steel market is in a favorable demand environment with improving pricing — the scrap cost headwind CMC experienced in its fiscal Q3 is a modest risk for STLD's Q2 margins, but the trajectory into the back half of the quarter is positive.</w:t>
      </w:r>
    </w:p>
    <w:p>
      <w:pPr>
        <w:pStyle w:val="Heading3"/>
      </w:pPr>
      <w:r>
        <w:rPr>
          <w:rFonts w:ascii="Calibri" w:hAnsi="Calibri"/>
          <w:b/>
          <w:color w:val="3B4259"/>
          <w:sz w:val="24"/>
        </w:rPr>
        <w:t>Reliance, Inc. (RS) — Q1 2026 Earnings Call (April 23, 2026)</w:t>
      </w:r>
    </w:p>
    <w:p>
      <w:r>
        <w:rPr>
          <w:rFonts w:ascii="Calibri" w:hAnsi="Calibri"/>
          <w:b/>
          <w:color w:val="525866"/>
          <w:sz w:val="22"/>
        </w:rPr>
        <w:t xml:space="preserve">Relevance: </w:t>
      </w:r>
      <w:r>
        <w:rPr>
          <w:rFonts w:ascii="Calibri" w:hAnsi="Calibri"/>
          <w:color w:val="525866"/>
          <w:sz w:val="22"/>
        </w:rPr>
        <w:t>Reliance is the largest U.S. metals service center and a key downstream customer of STLD's steel products. Its Q1 2026 commentary (reported two days after STLD) provides a demand-side read-through on steel consumption trends heading into Q2 2026.</w:t>
      </w:r>
    </w:p>
    <w:p>
      <w:r>
        <w:rPr>
          <w:rFonts w:ascii="Calibri" w:hAnsi="Calibri"/>
          <w:color w:val="525866"/>
          <w:sz w:val="22"/>
        </w:rPr>
        <w:t>Key Read-Throughs for STLD Q2 2026:</w:t>
      </w:r>
    </w:p>
    <w:p>
      <w:pPr>
        <w:pStyle w:val="ListBullet"/>
        <w:ind w:left="360" w:hanging="360"/>
      </w:pPr>
      <w:r>
        <w:rPr>
          <w:rFonts w:ascii="Calibri" w:hAnsi="Calibri"/>
          <w:b/>
          <w:color w:val="525866"/>
          <w:sz w:val="22"/>
        </w:rPr>
        <w:t xml:space="preserve">Record Q1 shipments signal strong underlying demand: </w:t>
      </w:r>
      <w:r>
        <w:rPr>
          <w:rFonts w:ascii="Calibri" w:hAnsi="Calibri"/>
          <w:color w:val="525866"/>
          <w:sz w:val="22"/>
        </w:rPr>
        <w:t>Reliance reported record tons sold in Q1 2026, up both sequentially and YoY, outperforming the broader service center industry by nearly 8 percentage points (Reliance +2.7% YoY vs. industry -5.1%). This outperformance reflects strong end-market demand that should translate into continued steel consumption in Q2.</w:t>
      </w:r>
    </w:p>
    <w:p>
      <w:pPr>
        <w:pStyle w:val="ListBullet"/>
        <w:ind w:left="360" w:hanging="360"/>
      </w:pPr>
      <w:r>
        <w:rPr>
          <w:rFonts w:ascii="Calibri" w:hAnsi="Calibri"/>
          <w:b/>
          <w:color w:val="525866"/>
          <w:sz w:val="22"/>
        </w:rPr>
        <w:t xml:space="preserve">Average selling price exceeded expectations: </w:t>
      </w:r>
      <w:r>
        <w:rPr>
          <w:rFonts w:ascii="Calibri" w:hAnsi="Calibri"/>
          <w:color w:val="525866"/>
          <w:sz w:val="22"/>
        </w:rPr>
        <w:t>Reliance's Q1 average selling price increased 5.3% from Q4 2025, exceeding its own guidance of 3–5%. This pricing strength is a positive read-through for STLD's average realized steel price in Q2, particularly given STLD's lagging-contract structure.</w:t>
      </w:r>
    </w:p>
    <w:p>
      <w:pPr>
        <w:pStyle w:val="ListBullet"/>
        <w:ind w:left="360" w:hanging="360"/>
      </w:pPr>
      <w:r>
        <w:rPr>
          <w:rFonts w:ascii="Calibri" w:hAnsi="Calibri"/>
          <w:b/>
          <w:color w:val="525866"/>
          <w:sz w:val="22"/>
        </w:rPr>
        <w:t xml:space="preserve">Infrastructure, data centers, energy, and defense driving momentum: </w:t>
      </w:r>
      <w:r>
        <w:rPr>
          <w:rFonts w:ascii="Calibri" w:hAnsi="Calibri"/>
          <w:color w:val="525866"/>
          <w:sz w:val="22"/>
        </w:rPr>
        <w:t>Reliance cited continued momentum in infrastructure, data center, energy, and defense sectors, with nonresidential construction (one-third of sales) remaining strong on data center and heavy civil projects. This demand mix is highly consistent with STLD's end-market exposure.</w:t>
      </w:r>
    </w:p>
    <w:p>
      <w:pPr>
        <w:pStyle w:val="ListBullet"/>
        <w:ind w:left="360" w:hanging="360"/>
      </w:pPr>
      <w:r>
        <w:rPr>
          <w:rFonts w:ascii="Calibri" w:hAnsi="Calibri"/>
          <w:b/>
          <w:color w:val="525866"/>
          <w:sz w:val="22"/>
        </w:rPr>
        <w:t xml:space="preserve">Rising customer optimism: </w:t>
      </w:r>
      <w:r>
        <w:rPr>
          <w:rFonts w:ascii="Calibri" w:hAnsi="Calibri"/>
          <w:color w:val="525866"/>
          <w:sz w:val="22"/>
        </w:rPr>
        <w:t>Reliance noted "rising customer optimism and activity across its broad end markets" — a leading indicator for steel demand that supports STLD's Q2 shipment and pricing outlook.</w:t>
      </w:r>
    </w:p>
    <w:p>
      <w:pPr>
        <w:pStyle w:val="ListBullet"/>
        <w:ind w:left="360" w:hanging="360"/>
      </w:pPr>
      <w:r>
        <w:rPr>
          <w:rFonts w:ascii="Calibri" w:hAnsi="Calibri"/>
          <w:b/>
          <w:color w:val="525866"/>
          <w:sz w:val="22"/>
        </w:rPr>
        <w:t xml:space="preserve">Aluminum volumes growing at higher margins: </w:t>
      </w:r>
      <w:r>
        <w:rPr>
          <w:rFonts w:ascii="Calibri" w:hAnsi="Calibri"/>
          <w:color w:val="525866"/>
          <w:sz w:val="22"/>
        </w:rPr>
        <w:t>Reliance noted aluminum product volumes contributed to YoY volume growth "at higher per ton profitability levels" — a positive read-through for STLD's aluminum operations as the Columbus mill ramps into higher-value product categories.</w:t>
      </w:r>
    </w:p>
    <w:p>
      <w:r>
        <w:rPr>
          <w:rFonts w:ascii="Calibri" w:hAnsi="Calibri"/>
          <w:b/>
          <w:color w:val="525866"/>
          <w:sz w:val="22"/>
        </w:rPr>
        <w:t xml:space="preserve">Bottom Line: </w:t>
      </w:r>
      <w:r>
        <w:rPr>
          <w:rFonts w:ascii="Calibri" w:hAnsi="Calibri"/>
          <w:color w:val="525866"/>
          <w:sz w:val="22"/>
        </w:rPr>
        <w:t>Reliance's Q1 2026 commentary confirms that downstream steel demand is robust and pricing is firming — as the largest service center, Reliance's volume and pricing trends are a leading indicator for STLD's shipment and ASP performance in Q2.</w:t>
      </w:r>
    </w:p>
    <w:p>
      <w:r>
        <w:rPr>
          <w:rFonts w:ascii="Calibri" w:hAnsi="Calibri"/>
          <w:b/>
          <w:color w:val="525866"/>
          <w:sz w:val="22"/>
        </w:rPr>
        <w:t xml:space="preserve">Note on Peer Scope: </w:t>
      </w:r>
      <w:r>
        <w:rPr>
          <w:rFonts w:ascii="Calibri" w:hAnsi="Calibri"/>
          <w:i/>
          <w:color w:val="525866"/>
          <w:sz w:val="22"/>
        </w:rPr>
        <w:t>Cleveland-Cliffs (CLF) and U.S. Steel (X) have not yet reported Q2 2026 results as of the preparation date. Nucor (NUE) reports July 27, 2026 — after STLD's July 20 release. The commentaries above are limited to post-Q1 2026 earnings guidance updates and the most recent earnings calls that speak to current-quarter (Q2 2026 calendar) conditions.</w:t>
      </w:r>
    </w:p>
    <w:p>
      <w:r>
        <w:br w:type="page"/>
      </w:r>
    </w:p>
    <w:p>
      <w:pPr>
        <w:pStyle w:val="Heading2"/>
      </w:pPr>
      <w:r>
        <w:rPr>
          <w:rFonts w:ascii="Calibri" w:hAnsi="Calibri"/>
          <w:b/>
          <w:color w:val="3B4259"/>
          <w:sz w:val="28"/>
        </w:rPr>
        <w:t>7. Material News &amp; Developments</w:t>
      </w:r>
    </w:p>
    <w:p>
      <w:r>
        <w:rPr>
          <w:rFonts w:ascii="Calibri" w:hAnsi="Calibri"/>
          <w:b/>
          <w:color w:val="525866"/>
          <w:sz w:val="22"/>
        </w:rPr>
        <w:t xml:space="preserve">Key Takeaway: </w:t>
      </w:r>
      <w:r>
        <w:rPr>
          <w:rFonts w:ascii="Calibri" w:hAnsi="Calibri"/>
          <w:color w:val="525866"/>
          <w:sz w:val="22"/>
        </w:rPr>
        <w:t>The most significant post-Q1 development is the June 17 guidance update, which confirmed a strong Q2 steel recovery but introduced a $16M write-down from the Arizona satellite facility relocation — a modest one-time negative that the market appears to have overreacted to given the broader constructive backdrop.</w:t>
      </w:r>
    </w:p>
    <w:p>
      <w:pPr>
        <w:pStyle w:val="ListBullet"/>
        <w:ind w:left="360" w:hanging="360"/>
      </w:pPr>
      <w:r>
        <w:rPr>
          <w:rFonts w:ascii="Calibri" w:hAnsi="Calibri"/>
          <w:b/>
          <w:color w:val="525866"/>
          <w:sz w:val="22"/>
        </w:rPr>
        <w:t xml:space="preserve">Q2 2026 Earnings Guidance Issued (June 17–18, 2026): </w:t>
      </w:r>
      <w:r>
        <w:rPr>
          <w:rFonts w:ascii="Calibri" w:hAnsi="Calibri"/>
          <w:color w:val="525866"/>
          <w:sz w:val="22"/>
        </w:rPr>
        <w:t>Steel Dynamics provided Q2 2026 EPS guidance of $3.51–$3.55 per diluted share, including a $16M write-down from the decision to relocate the second satellite aluminum recycled slab center from Arizona to Columbus, Mississippi. Management cited differences with Arizona state officials as the reason for relocation. The guidance confirmed meaningfully higher steel profitability, significant aluminum improvement, and a strong fabrication backlog.</w:t>
      </w:r>
    </w:p>
    <w:p>
      <w:pPr>
        <w:pStyle w:val="ListBullet"/>
        <w:ind w:left="360" w:hanging="360"/>
      </w:pPr>
      <w:r>
        <w:rPr>
          <w:rFonts w:ascii="Calibri" w:hAnsi="Calibri"/>
          <w:b/>
          <w:color w:val="525866"/>
          <w:sz w:val="22"/>
        </w:rPr>
        <w:t xml:space="preserve">Aluminum Columbus Mill Commissioning Progress: </w:t>
      </w:r>
      <w:r>
        <w:rPr>
          <w:rFonts w:ascii="Calibri" w:hAnsi="Calibri"/>
          <w:color w:val="525866"/>
          <w:sz w:val="22"/>
        </w:rPr>
        <w:t>As of the June 17 guidance update, two of three cold mills are operational, the third cold mill is expected to begin qualifying material in July, and the first CASH line (for automotive products) is operating and shipping material for customer qualification. The second CASH line is expected to begin qualifications in Q4 2026. The company remains on track to exit 2026 at a monthly rate of 90% capacity utilization.</w:t>
      </w:r>
    </w:p>
    <w:p>
      <w:pPr>
        <w:pStyle w:val="ListBullet"/>
        <w:ind w:left="360" w:hanging="360"/>
      </w:pPr>
      <w:r>
        <w:rPr>
          <w:rFonts w:ascii="Calibri" w:hAnsi="Calibri"/>
          <w:b/>
          <w:color w:val="525866"/>
          <w:sz w:val="22"/>
        </w:rPr>
        <w:t xml:space="preserve">Fabrication Backlog at Record Levels: </w:t>
      </w:r>
      <w:r>
        <w:rPr>
          <w:rFonts w:ascii="Calibri" w:hAnsi="Calibri"/>
          <w:color w:val="525866"/>
          <w:sz w:val="22"/>
        </w:rPr>
        <w:t>The steel fabrication order backlog is now nearly 40% higher than a year ago and extends through the end of 2026 and into 2027, supported by commercial construction, data center and warehouse buildouts, manufacturing, and healthcare end markets. Management expects further volume improvement throughout 2026 and into 2027.</w:t>
      </w:r>
    </w:p>
    <w:p>
      <w:pPr>
        <w:pStyle w:val="ListBullet"/>
        <w:ind w:left="360" w:hanging="360"/>
      </w:pPr>
      <w:r>
        <w:rPr>
          <w:rFonts w:ascii="Calibri" w:hAnsi="Calibri"/>
          <w:b/>
          <w:color w:val="525866"/>
          <w:sz w:val="22"/>
        </w:rPr>
        <w:t xml:space="preserve">BlueScope M&amp;A Pursuit Stalled: </w:t>
      </w:r>
      <w:r>
        <w:rPr>
          <w:rFonts w:ascii="Calibri" w:hAnsi="Calibri"/>
          <w:color w:val="525866"/>
          <w:sz w:val="22"/>
        </w:rPr>
        <w:t>The joint pursuit of BlueScope Steel with SGH (which submitted a "best and final" offer that was rejected in February 2026) remains stalled with no constructive engagement since. Management has not provided an update since Q1 earnings, and the M&amp;A pipeline remains active but without a near-term catalyst.</w:t>
      </w:r>
    </w:p>
    <w:p>
      <w:pPr>
        <w:pStyle w:val="ListBullet"/>
        <w:ind w:left="360" w:hanging="360"/>
      </w:pPr>
      <w:r>
        <w:rPr>
          <w:rFonts w:ascii="Calibri" w:hAnsi="Calibri"/>
          <w:b/>
          <w:color w:val="525866"/>
          <w:sz w:val="22"/>
        </w:rPr>
        <w:t xml:space="preserve">Share Repurchase Activity: </w:t>
      </w:r>
      <w:r>
        <w:rPr>
          <w:rFonts w:ascii="Calibri" w:hAnsi="Calibri"/>
          <w:color w:val="525866"/>
          <w:sz w:val="22"/>
        </w:rPr>
        <w:t>The company repurchased $170 million (approximately 0.5% of shares outstanding) during Q2 2026 as of June 17, 2026, demonstrating continued commitment to the balanced capital allocation framework despite the working capital build from rising steel prices.</w:t>
      </w:r>
    </w:p>
    <w:p>
      <w:pPr>
        <w:pStyle w:val="ListBullet"/>
        <w:ind w:left="360" w:hanging="360"/>
      </w:pPr>
      <w:r>
        <w:rPr>
          <w:rFonts w:ascii="Calibri" w:hAnsi="Calibri"/>
          <w:b/>
          <w:color w:val="525866"/>
          <w:sz w:val="22"/>
        </w:rPr>
        <w:t xml:space="preserve">Earnings Conference Call Scheduled: </w:t>
      </w:r>
      <w:r>
        <w:rPr>
          <w:rFonts w:ascii="Calibri" w:hAnsi="Calibri"/>
          <w:color w:val="525866"/>
          <w:sz w:val="22"/>
        </w:rPr>
        <w:t>Steel Dynamics plans to release Q2 2026 earnings after market close on July 20, 2026, with a conference call on July 21, 2026 at 11:00 AM ET.</w:t>
      </w:r>
    </w:p>
    <w:p>
      <w:pPr>
        <w:pStyle w:val="ListBullet"/>
        <w:ind w:left="360" w:hanging="360"/>
      </w:pPr>
      <w:r>
        <w:rPr>
          <w:rFonts w:ascii="Calibri" w:hAnsi="Calibri"/>
          <w:b/>
          <w:color w:val="525866"/>
          <w:sz w:val="22"/>
        </w:rPr>
        <w:t xml:space="preserve">Dividend Announcement (May 8, 2026): </w:t>
      </w:r>
      <w:r>
        <w:rPr>
          <w:rFonts w:ascii="Calibri" w:hAnsi="Calibri"/>
          <w:color w:val="525866"/>
          <w:sz w:val="22"/>
        </w:rPr>
        <w:t>Steel Dynamics declared its regular quarterly dividend, consistent with the company's progressive dividend policy.</w:t>
      </w:r>
    </w:p>
    <w:p>
      <w:pPr>
        <w:pStyle w:val="ListBullet"/>
        <w:ind w:left="360" w:hanging="360"/>
      </w:pPr>
      <w:r>
        <w:rPr>
          <w:rFonts w:ascii="Calibri" w:hAnsi="Calibri"/>
          <w:b/>
          <w:color w:val="525866"/>
          <w:sz w:val="22"/>
        </w:rPr>
        <w:t xml:space="preserve">Annual Meeting (May 8, 2026): </w:t>
      </w:r>
      <w:r>
        <w:rPr>
          <w:rFonts w:ascii="Calibri" w:hAnsi="Calibri"/>
          <w:color w:val="525866"/>
          <w:sz w:val="22"/>
        </w:rPr>
        <w:t>Shareholders elected directors and rejected a political spending proposal at the annual meeting.</w:t>
      </w:r>
    </w:p>
    <w:p>
      <w:r>
        <w:br w:type="page"/>
      </w:r>
    </w:p>
    <w:p>
      <w:pPr>
        <w:pStyle w:val="Heading2"/>
      </w:pPr>
      <w:r>
        <w:rPr>
          <w:rFonts w:ascii="Calibri" w:hAnsi="Calibri"/>
          <w:b/>
          <w:color w:val="3B4259"/>
          <w:sz w:val="28"/>
        </w:rPr>
        <w:t>8. Insider Transaction Activity</w:t>
      </w:r>
    </w:p>
    <w:p>
      <w:r>
        <w:rPr>
          <w:rFonts w:ascii="Calibri" w:hAnsi="Calibri"/>
          <w:b/>
          <w:color w:val="525866"/>
          <w:sz w:val="22"/>
        </w:rPr>
        <w:t xml:space="preserve">Key Takeaway: </w:t>
      </w:r>
      <w:r>
        <w:rPr>
          <w:rFonts w:ascii="Calibri" w:hAnsi="Calibri"/>
          <w:color w:val="525866"/>
          <w:sz w:val="22"/>
        </w:rPr>
        <w:t>Insider activity since Q1 earnings is dominated by routine director compensation awards (transaction code ‘A’) with no meaningful open-market purchases; the two notable open-market sales (SVP Anderson 10,000 shares in June, SVP Graham 9,000 shares in May) are modest relative to holdings and do not signal a bearish insider view.</w:t>
      </w:r>
    </w:p>
    <w:tbl>
      <w:tblPr>
        <w:tblStyle w:val="TableGrid"/>
        <w:tblW w:type="auto" w:w="0"/>
        <w:tblLook w:firstColumn="1" w:firstRow="1" w:lastColumn="0" w:lastRow="0" w:noHBand="0" w:noVBand="1" w:val="04A0"/>
      </w:tblPr>
      <w:tblGrid>
        <w:gridCol w:w="1234"/>
        <w:gridCol w:w="1234"/>
        <w:gridCol w:w="1234"/>
        <w:gridCol w:w="1234"/>
        <w:gridCol w:w="1234"/>
        <w:gridCol w:w="1234"/>
        <w:gridCol w:w="1234"/>
      </w:tblGrid>
      <w:tr>
        <w:tc>
          <w:tcPr>
            <w:tcW w:type="dxa" w:w="1234"/>
            <w:shd w:val="clear" w:color="auto" w:fill="3B4259"/>
          </w:tcPr>
          <w:p>
            <w:r>
              <w:rPr>
                <w:rFonts w:ascii="Calibri" w:hAnsi="Calibri"/>
                <w:b/>
                <w:color w:val="FFFFFF"/>
                <w:sz w:val="22"/>
              </w:rPr>
              <w:t>Name</w:t>
            </w:r>
          </w:p>
        </w:tc>
        <w:tc>
          <w:tcPr>
            <w:tcW w:type="dxa" w:w="1234"/>
            <w:shd w:val="clear" w:color="auto" w:fill="3B4259"/>
          </w:tcPr>
          <w:p>
            <w:r>
              <w:rPr>
                <w:rFonts w:ascii="Calibri" w:hAnsi="Calibri"/>
                <w:b/>
                <w:color w:val="FFFFFF"/>
                <w:sz w:val="22"/>
              </w:rPr>
              <w:t>Role</w:t>
            </w:r>
          </w:p>
        </w:tc>
        <w:tc>
          <w:tcPr>
            <w:tcW w:type="dxa" w:w="1234"/>
            <w:shd w:val="clear" w:color="auto" w:fill="3B4259"/>
          </w:tcPr>
          <w:p>
            <w:r>
              <w:rPr>
                <w:rFonts w:ascii="Calibri" w:hAnsi="Calibri"/>
                <w:b/>
                <w:color w:val="FFFFFF"/>
                <w:sz w:val="22"/>
              </w:rPr>
              <w:t>Transaction Date</w:t>
            </w:r>
          </w:p>
        </w:tc>
        <w:tc>
          <w:tcPr>
            <w:tcW w:type="dxa" w:w="1234"/>
            <w:shd w:val="clear" w:color="auto" w:fill="3B4259"/>
          </w:tcPr>
          <w:p>
            <w:r>
              <w:rPr>
                <w:rFonts w:ascii="Calibri" w:hAnsi="Calibri"/>
                <w:b/>
                <w:color w:val="FFFFFF"/>
                <w:sz w:val="22"/>
              </w:rPr>
              <w:t>Type</w:t>
            </w:r>
          </w:p>
        </w:tc>
        <w:tc>
          <w:tcPr>
            <w:tcW w:type="dxa" w:w="1234"/>
            <w:shd w:val="clear" w:color="auto" w:fill="3B4259"/>
          </w:tcPr>
          <w:p>
            <w:r>
              <w:rPr>
                <w:rFonts w:ascii="Calibri" w:hAnsi="Calibri"/>
                <w:b/>
                <w:color w:val="FFFFFF"/>
                <w:sz w:val="22"/>
              </w:rPr>
              <w:t>Shares</w:t>
            </w:r>
          </w:p>
        </w:tc>
        <w:tc>
          <w:tcPr>
            <w:tcW w:type="dxa" w:w="1234"/>
            <w:shd w:val="clear" w:color="auto" w:fill="3B4259"/>
          </w:tcPr>
          <w:p>
            <w:r>
              <w:rPr>
                <w:rFonts w:ascii="Calibri" w:hAnsi="Calibri"/>
                <w:b/>
                <w:color w:val="FFFFFF"/>
                <w:sz w:val="22"/>
              </w:rPr>
              <w:t>Code</w:t>
            </w:r>
          </w:p>
        </w:tc>
        <w:tc>
          <w:tcPr>
            <w:tcW w:type="dxa" w:w="1234"/>
            <w:shd w:val="clear" w:color="auto" w:fill="3B4259"/>
          </w:tcPr>
          <w:p>
            <w:r>
              <w:rPr>
                <w:rFonts w:ascii="Calibri" w:hAnsi="Calibri"/>
                <w:b/>
                <w:color w:val="FFFFFF"/>
                <w:sz w:val="22"/>
              </w:rPr>
              <w:t>Shares Owned After</w:t>
            </w:r>
          </w:p>
        </w:tc>
      </w:tr>
      <w:tr>
        <w:tc>
          <w:tcPr>
            <w:tcW w:type="dxa" w:w="1234"/>
          </w:tcPr>
          <w:p>
            <w:r>
              <w:rPr>
                <w:rFonts w:ascii="Calibri" w:hAnsi="Calibri"/>
                <w:sz w:val="22"/>
              </w:rPr>
              <w:t>Anderson, James S.</w:t>
            </w:r>
          </w:p>
        </w:tc>
        <w:tc>
          <w:tcPr>
            <w:tcW w:type="dxa" w:w="1234"/>
          </w:tcPr>
          <w:p>
            <w:r>
              <w:rPr>
                <w:rFonts w:ascii="Calibri" w:hAnsi="Calibri"/>
                <w:sz w:val="22"/>
              </w:rPr>
              <w:t>Senior VP</w:t>
            </w:r>
          </w:p>
        </w:tc>
        <w:tc>
          <w:tcPr>
            <w:tcW w:type="dxa" w:w="1234"/>
          </w:tcPr>
          <w:p>
            <w:r>
              <w:rPr>
                <w:rFonts w:ascii="Calibri" w:hAnsi="Calibri"/>
                <w:sz w:val="22"/>
              </w:rPr>
              <w:t>Jun 5, 2026</w:t>
            </w:r>
          </w:p>
        </w:tc>
        <w:tc>
          <w:tcPr>
            <w:tcW w:type="dxa" w:w="1234"/>
          </w:tcPr>
          <w:p>
            <w:r>
              <w:rPr>
                <w:rFonts w:ascii="Calibri" w:hAnsi="Calibri"/>
                <w:b/>
                <w:color w:val="E5484D"/>
                <w:sz w:val="22"/>
              </w:rPr>
              <w:t>Sale (Open Market)</w:t>
            </w:r>
          </w:p>
        </w:tc>
        <w:tc>
          <w:tcPr>
            <w:tcW w:type="dxa" w:w="1234"/>
          </w:tcPr>
          <w:p>
            <w:r>
              <w:rPr>
                <w:rFonts w:ascii="Calibri" w:hAnsi="Calibri"/>
                <w:sz w:val="22"/>
              </w:rPr>
              <w:t>10,000</w:t>
            </w:r>
          </w:p>
        </w:tc>
        <w:tc>
          <w:tcPr>
            <w:tcW w:type="dxa" w:w="1234"/>
          </w:tcPr>
          <w:p>
            <w:r>
              <w:rPr>
                <w:rFonts w:ascii="Calibri" w:hAnsi="Calibri"/>
                <w:sz w:val="22"/>
              </w:rPr>
              <w:t>S</w:t>
            </w:r>
          </w:p>
        </w:tc>
        <w:tc>
          <w:tcPr>
            <w:tcW w:type="dxa" w:w="1234"/>
          </w:tcPr>
          <w:p>
            <w:r>
              <w:rPr>
                <w:rFonts w:ascii="Calibri" w:hAnsi="Calibri"/>
                <w:sz w:val="22"/>
              </w:rPr>
              <w:t>102,837</w:t>
            </w:r>
          </w:p>
        </w:tc>
      </w:tr>
      <w:tr>
        <w:tc>
          <w:tcPr>
            <w:tcW w:type="dxa" w:w="1234"/>
          </w:tcPr>
          <w:p>
            <w:r>
              <w:rPr>
                <w:rFonts w:ascii="Calibri" w:hAnsi="Calibri"/>
                <w:sz w:val="22"/>
              </w:rPr>
              <w:t>Graham, Christopher A.</w:t>
            </w:r>
          </w:p>
        </w:tc>
        <w:tc>
          <w:tcPr>
            <w:tcW w:type="dxa" w:w="1234"/>
          </w:tcPr>
          <w:p>
            <w:r>
              <w:rPr>
                <w:rFonts w:ascii="Calibri" w:hAnsi="Calibri"/>
                <w:sz w:val="22"/>
              </w:rPr>
              <w:t>Senior VP</w:t>
            </w:r>
          </w:p>
        </w:tc>
        <w:tc>
          <w:tcPr>
            <w:tcW w:type="dxa" w:w="1234"/>
          </w:tcPr>
          <w:p>
            <w:r>
              <w:rPr>
                <w:rFonts w:ascii="Calibri" w:hAnsi="Calibri"/>
                <w:sz w:val="22"/>
              </w:rPr>
              <w:t>May 13, 2026</w:t>
            </w:r>
          </w:p>
        </w:tc>
        <w:tc>
          <w:tcPr>
            <w:tcW w:type="dxa" w:w="1234"/>
          </w:tcPr>
          <w:p>
            <w:r>
              <w:rPr>
                <w:rFonts w:ascii="Calibri" w:hAnsi="Calibri"/>
                <w:b/>
                <w:color w:val="E5484D"/>
                <w:sz w:val="22"/>
              </w:rPr>
              <w:t>Sale (Open Market)</w:t>
            </w:r>
          </w:p>
        </w:tc>
        <w:tc>
          <w:tcPr>
            <w:tcW w:type="dxa" w:w="1234"/>
          </w:tcPr>
          <w:p>
            <w:r>
              <w:rPr>
                <w:rFonts w:ascii="Calibri" w:hAnsi="Calibri"/>
                <w:sz w:val="22"/>
              </w:rPr>
              <w:t>9,000</w:t>
            </w:r>
          </w:p>
        </w:tc>
        <w:tc>
          <w:tcPr>
            <w:tcW w:type="dxa" w:w="1234"/>
          </w:tcPr>
          <w:p>
            <w:r>
              <w:rPr>
                <w:rFonts w:ascii="Calibri" w:hAnsi="Calibri"/>
                <w:sz w:val="22"/>
              </w:rPr>
              <w:t>S</w:t>
            </w:r>
          </w:p>
        </w:tc>
        <w:tc>
          <w:tcPr>
            <w:tcW w:type="dxa" w:w="1234"/>
          </w:tcPr>
          <w:p>
            <w:r>
              <w:rPr>
                <w:rFonts w:ascii="Calibri" w:hAnsi="Calibri"/>
                <w:sz w:val="22"/>
              </w:rPr>
              <w:t>68,747</w:t>
            </w:r>
          </w:p>
        </w:tc>
      </w:tr>
      <w:tr>
        <w:tc>
          <w:tcPr>
            <w:tcW w:type="dxa" w:w="1234"/>
          </w:tcPr>
          <w:p>
            <w:r>
              <w:rPr>
                <w:rFonts w:ascii="Calibri" w:hAnsi="Calibri"/>
                <w:sz w:val="22"/>
              </w:rPr>
              <w:t>Poinsatte, Richard A.</w:t>
            </w:r>
          </w:p>
        </w:tc>
        <w:tc>
          <w:tcPr>
            <w:tcW w:type="dxa" w:w="1234"/>
          </w:tcPr>
          <w:p>
            <w:r>
              <w:rPr>
                <w:rFonts w:ascii="Calibri" w:hAnsi="Calibri"/>
                <w:sz w:val="22"/>
              </w:rPr>
              <w:t>Senior VP</w:t>
            </w:r>
          </w:p>
        </w:tc>
        <w:tc>
          <w:tcPr>
            <w:tcW w:type="dxa" w:w="1234"/>
          </w:tcPr>
          <w:p>
            <w:r>
              <w:rPr>
                <w:rFonts w:ascii="Calibri" w:hAnsi="Calibri"/>
                <w:sz w:val="22"/>
              </w:rPr>
              <w:t>May 12, 2026</w:t>
            </w:r>
          </w:p>
        </w:tc>
        <w:tc>
          <w:tcPr>
            <w:tcW w:type="dxa" w:w="1234"/>
          </w:tcPr>
          <w:p>
            <w:r>
              <w:rPr>
                <w:rFonts w:ascii="Calibri" w:hAnsi="Calibri"/>
                <w:b/>
                <w:color w:val="E5484D"/>
                <w:sz w:val="22"/>
              </w:rPr>
              <w:t>Sale (Open Market)</w:t>
            </w:r>
          </w:p>
        </w:tc>
        <w:tc>
          <w:tcPr>
            <w:tcW w:type="dxa" w:w="1234"/>
          </w:tcPr>
          <w:p>
            <w:r>
              <w:rPr>
                <w:rFonts w:ascii="Calibri" w:hAnsi="Calibri"/>
                <w:sz w:val="22"/>
              </w:rPr>
              <w:t>2,300</w:t>
            </w:r>
          </w:p>
        </w:tc>
        <w:tc>
          <w:tcPr>
            <w:tcW w:type="dxa" w:w="1234"/>
          </w:tcPr>
          <w:p>
            <w:r>
              <w:rPr>
                <w:rFonts w:ascii="Calibri" w:hAnsi="Calibri"/>
                <w:sz w:val="22"/>
              </w:rPr>
              <w:t>S</w:t>
            </w:r>
          </w:p>
        </w:tc>
        <w:tc>
          <w:tcPr>
            <w:tcW w:type="dxa" w:w="1234"/>
          </w:tcPr>
          <w:p>
            <w:r>
              <w:rPr>
                <w:rFonts w:ascii="Calibri" w:hAnsi="Calibri"/>
                <w:sz w:val="22"/>
              </w:rPr>
              <w:t>28,618</w:t>
            </w:r>
          </w:p>
        </w:tc>
      </w:tr>
      <w:tr>
        <w:tc>
          <w:tcPr>
            <w:tcW w:type="dxa" w:w="1234"/>
          </w:tcPr>
          <w:p>
            <w:r>
              <w:rPr>
                <w:rFonts w:ascii="Calibri" w:hAnsi="Calibri"/>
                <w:sz w:val="22"/>
              </w:rPr>
              <w:t>Alvarez, Miguel</w:t>
            </w:r>
          </w:p>
        </w:tc>
        <w:tc>
          <w:tcPr>
            <w:tcW w:type="dxa" w:w="1234"/>
          </w:tcPr>
          <w:p>
            <w:r>
              <w:rPr>
                <w:rFonts w:ascii="Calibri" w:hAnsi="Calibri"/>
                <w:sz w:val="22"/>
              </w:rPr>
              <w:t>Senior VP</w:t>
            </w:r>
          </w:p>
        </w:tc>
        <w:tc>
          <w:tcPr>
            <w:tcW w:type="dxa" w:w="1234"/>
          </w:tcPr>
          <w:p>
            <w:r>
              <w:rPr>
                <w:rFonts w:ascii="Calibri" w:hAnsi="Calibri"/>
                <w:sz w:val="22"/>
              </w:rPr>
              <w:t>Apr 23, 2026</w:t>
            </w:r>
          </w:p>
        </w:tc>
        <w:tc>
          <w:tcPr>
            <w:tcW w:type="dxa" w:w="1234"/>
          </w:tcPr>
          <w:p>
            <w:r>
              <w:rPr>
                <w:rFonts w:ascii="Calibri" w:hAnsi="Calibri"/>
                <w:b/>
                <w:color w:val="E5484D"/>
                <w:sz w:val="22"/>
              </w:rPr>
              <w:t>Sale (Open Market)</w:t>
            </w:r>
          </w:p>
        </w:tc>
        <w:tc>
          <w:tcPr>
            <w:tcW w:type="dxa" w:w="1234"/>
          </w:tcPr>
          <w:p>
            <w:r>
              <w:rPr>
                <w:rFonts w:ascii="Calibri" w:hAnsi="Calibri"/>
                <w:sz w:val="22"/>
              </w:rPr>
              <w:t>4,825</w:t>
            </w:r>
          </w:p>
        </w:tc>
        <w:tc>
          <w:tcPr>
            <w:tcW w:type="dxa" w:w="1234"/>
          </w:tcPr>
          <w:p>
            <w:r>
              <w:rPr>
                <w:rFonts w:ascii="Calibri" w:hAnsi="Calibri"/>
                <w:sz w:val="22"/>
              </w:rPr>
              <w:t>S</w:t>
            </w:r>
          </w:p>
        </w:tc>
        <w:tc>
          <w:tcPr>
            <w:tcW w:type="dxa" w:w="1234"/>
          </w:tcPr>
          <w:p>
            <w:r>
              <w:rPr>
                <w:rFonts w:ascii="Calibri" w:hAnsi="Calibri"/>
                <w:sz w:val="22"/>
              </w:rPr>
              <w:t>122,257</w:t>
            </w:r>
          </w:p>
        </w:tc>
      </w:tr>
      <w:tr>
        <w:tc>
          <w:tcPr>
            <w:tcW w:type="dxa" w:w="1234"/>
          </w:tcPr>
          <w:p>
            <w:r>
              <w:rPr>
                <w:rFonts w:ascii="Calibri" w:hAnsi="Calibri"/>
                <w:sz w:val="22"/>
              </w:rPr>
              <w:t>Cornew, Kenneth W.</w:t>
            </w:r>
          </w:p>
        </w:tc>
        <w:tc>
          <w:tcPr>
            <w:tcW w:type="dxa" w:w="1234"/>
          </w:tcPr>
          <w:p>
            <w:r>
              <w:rPr>
                <w:rFonts w:ascii="Calibri" w:hAnsi="Calibri"/>
                <w:sz w:val="22"/>
              </w:rPr>
              <w:t>Director</w:t>
            </w:r>
          </w:p>
        </w:tc>
        <w:tc>
          <w:tcPr>
            <w:tcW w:type="dxa" w:w="1234"/>
          </w:tcPr>
          <w:p>
            <w:r>
              <w:rPr>
                <w:rFonts w:ascii="Calibri" w:hAnsi="Calibri"/>
                <w:sz w:val="22"/>
              </w:rPr>
              <w:t>Apr 23, 2026</w:t>
            </w:r>
          </w:p>
        </w:tc>
        <w:tc>
          <w:tcPr>
            <w:tcW w:type="dxa" w:w="1234"/>
          </w:tcPr>
          <w:p>
            <w:r>
              <w:rPr>
                <w:rFonts w:ascii="Calibri" w:hAnsi="Calibri"/>
                <w:b/>
                <w:color w:val="E5484D"/>
                <w:sz w:val="22"/>
              </w:rPr>
              <w:t>Sale (Open Market)</w:t>
            </w:r>
          </w:p>
        </w:tc>
        <w:tc>
          <w:tcPr>
            <w:tcW w:type="dxa" w:w="1234"/>
          </w:tcPr>
          <w:p>
            <w:r>
              <w:rPr>
                <w:rFonts w:ascii="Calibri" w:hAnsi="Calibri"/>
                <w:sz w:val="22"/>
              </w:rPr>
              <w:t>5,000</w:t>
            </w:r>
          </w:p>
        </w:tc>
        <w:tc>
          <w:tcPr>
            <w:tcW w:type="dxa" w:w="1234"/>
          </w:tcPr>
          <w:p>
            <w:r>
              <w:rPr>
                <w:rFonts w:ascii="Calibri" w:hAnsi="Calibri"/>
                <w:sz w:val="22"/>
              </w:rPr>
              <w:t>S</w:t>
            </w:r>
          </w:p>
        </w:tc>
        <w:tc>
          <w:tcPr>
            <w:tcW w:type="dxa" w:w="1234"/>
          </w:tcPr>
          <w:p>
            <w:r>
              <w:rPr>
                <w:rFonts w:ascii="Calibri" w:hAnsi="Calibri"/>
                <w:sz w:val="22"/>
              </w:rPr>
              <w:t>31,299</w:t>
            </w:r>
          </w:p>
        </w:tc>
      </w:tr>
      <w:tr>
        <w:tc>
          <w:tcPr>
            <w:tcW w:type="dxa" w:w="1234"/>
          </w:tcPr>
          <w:p>
            <w:r>
              <w:rPr>
                <w:rFonts w:ascii="Calibri" w:hAnsi="Calibri"/>
                <w:sz w:val="22"/>
              </w:rPr>
              <w:t>Poinsatte, Richard A.</w:t>
            </w:r>
          </w:p>
        </w:tc>
        <w:tc>
          <w:tcPr>
            <w:tcW w:type="dxa" w:w="1234"/>
          </w:tcPr>
          <w:p>
            <w:r>
              <w:rPr>
                <w:rFonts w:ascii="Calibri" w:hAnsi="Calibri"/>
                <w:sz w:val="22"/>
              </w:rPr>
              <w:t>Senior VP</w:t>
            </w:r>
          </w:p>
        </w:tc>
        <w:tc>
          <w:tcPr>
            <w:tcW w:type="dxa" w:w="1234"/>
          </w:tcPr>
          <w:p>
            <w:r>
              <w:rPr>
                <w:rFonts w:ascii="Calibri" w:hAnsi="Calibri"/>
                <w:sz w:val="22"/>
              </w:rPr>
              <w:t>May 14, 2026</w:t>
            </w:r>
          </w:p>
        </w:tc>
        <w:tc>
          <w:tcPr>
            <w:tcW w:type="dxa" w:w="1234"/>
          </w:tcPr>
          <w:p>
            <w:r>
              <w:rPr>
                <w:rFonts w:ascii="Calibri" w:hAnsi="Calibri"/>
                <w:b/>
                <w:color w:val="002FA7"/>
                <w:sz w:val="22"/>
              </w:rPr>
              <w:t>Gift (Disposition)</w:t>
            </w:r>
          </w:p>
        </w:tc>
        <w:tc>
          <w:tcPr>
            <w:tcW w:type="dxa" w:w="1234"/>
          </w:tcPr>
          <w:p>
            <w:r>
              <w:rPr>
                <w:rFonts w:ascii="Calibri" w:hAnsi="Calibri"/>
                <w:sz w:val="22"/>
              </w:rPr>
              <w:t>200</w:t>
            </w:r>
          </w:p>
        </w:tc>
        <w:tc>
          <w:tcPr>
            <w:tcW w:type="dxa" w:w="1234"/>
          </w:tcPr>
          <w:p>
            <w:r>
              <w:rPr>
                <w:rFonts w:ascii="Calibri" w:hAnsi="Calibri"/>
                <w:sz w:val="22"/>
              </w:rPr>
              <w:t>G</w:t>
            </w:r>
          </w:p>
        </w:tc>
        <w:tc>
          <w:tcPr>
            <w:tcW w:type="dxa" w:w="1234"/>
          </w:tcPr>
          <w:p>
            <w:r>
              <w:rPr>
                <w:rFonts w:ascii="Calibri" w:hAnsi="Calibri"/>
                <w:sz w:val="22"/>
              </w:rPr>
              <w:t>28,418</w:t>
            </w:r>
          </w:p>
        </w:tc>
      </w:tr>
      <w:tr>
        <w:tc>
          <w:tcPr>
            <w:tcW w:type="dxa" w:w="1234"/>
          </w:tcPr>
          <w:p>
            <w:r>
              <w:rPr>
                <w:rFonts w:ascii="Calibri" w:hAnsi="Calibri"/>
                <w:sz w:val="22"/>
              </w:rPr>
              <w:t>Bickford, Chad</w:t>
            </w:r>
          </w:p>
        </w:tc>
        <w:tc>
          <w:tcPr>
            <w:tcW w:type="dxa" w:w="1234"/>
          </w:tcPr>
          <w:p>
            <w:r>
              <w:rPr>
                <w:rFonts w:ascii="Calibri" w:hAnsi="Calibri"/>
                <w:sz w:val="22"/>
              </w:rPr>
              <w:t>Vice President</w:t>
            </w:r>
          </w:p>
        </w:tc>
        <w:tc>
          <w:tcPr>
            <w:tcW w:type="dxa" w:w="1234"/>
          </w:tcPr>
          <w:p>
            <w:r>
              <w:rPr>
                <w:rFonts w:ascii="Calibri" w:hAnsi="Calibri"/>
                <w:sz w:val="22"/>
              </w:rPr>
              <w:t>May 1, 2026</w:t>
            </w:r>
          </w:p>
        </w:tc>
        <w:tc>
          <w:tcPr>
            <w:tcW w:type="dxa" w:w="1234"/>
          </w:tcPr>
          <w:p>
            <w:r>
              <w:rPr>
                <w:rFonts w:ascii="Calibri" w:hAnsi="Calibri"/>
                <w:b/>
                <w:color w:val="002FA7"/>
                <w:sz w:val="22"/>
              </w:rPr>
              <w:t>Tax Withholding</w:t>
            </w:r>
          </w:p>
        </w:tc>
        <w:tc>
          <w:tcPr>
            <w:tcW w:type="dxa" w:w="1234"/>
          </w:tcPr>
          <w:p>
            <w:r>
              <w:rPr>
                <w:rFonts w:ascii="Calibri" w:hAnsi="Calibri"/>
                <w:sz w:val="22"/>
              </w:rPr>
              <w:t>166</w:t>
            </w:r>
          </w:p>
        </w:tc>
        <w:tc>
          <w:tcPr>
            <w:tcW w:type="dxa" w:w="1234"/>
          </w:tcPr>
          <w:p>
            <w:r>
              <w:rPr>
                <w:rFonts w:ascii="Calibri" w:hAnsi="Calibri"/>
                <w:sz w:val="22"/>
              </w:rPr>
              <w:t>F</w:t>
            </w:r>
          </w:p>
        </w:tc>
        <w:tc>
          <w:tcPr>
            <w:tcW w:type="dxa" w:w="1234"/>
          </w:tcPr>
          <w:p>
            <w:r>
              <w:rPr>
                <w:rFonts w:ascii="Calibri" w:hAnsi="Calibri"/>
                <w:sz w:val="22"/>
              </w:rPr>
              <w:t>24,025</w:t>
            </w:r>
          </w:p>
        </w:tc>
      </w:tr>
      <w:tr>
        <w:tc>
          <w:tcPr>
            <w:tcW w:type="dxa" w:w="1234"/>
          </w:tcPr>
          <w:p>
            <w:r>
              <w:rPr>
                <w:rFonts w:ascii="Calibri" w:hAnsi="Calibri"/>
                <w:sz w:val="22"/>
              </w:rPr>
              <w:t>Multiple Directors (6)</w:t>
            </w:r>
          </w:p>
        </w:tc>
        <w:tc>
          <w:tcPr>
            <w:tcW w:type="dxa" w:w="1234"/>
          </w:tcPr>
          <w:p>
            <w:r>
              <w:rPr>
                <w:rFonts w:ascii="Calibri" w:hAnsi="Calibri"/>
                <w:sz w:val="22"/>
              </w:rPr>
              <w:t>Board</w:t>
            </w:r>
          </w:p>
        </w:tc>
        <w:tc>
          <w:tcPr>
            <w:tcW w:type="dxa" w:w="1234"/>
          </w:tcPr>
          <w:p>
            <w:r>
              <w:rPr>
                <w:rFonts w:ascii="Calibri" w:hAnsi="Calibri"/>
                <w:sz w:val="22"/>
              </w:rPr>
              <w:t>Jun 1, 2026 &amp; Jul 10, 2026</w:t>
            </w:r>
          </w:p>
        </w:tc>
        <w:tc>
          <w:tcPr>
            <w:tcW w:type="dxa" w:w="1234"/>
          </w:tcPr>
          <w:p>
            <w:r>
              <w:rPr>
                <w:rFonts w:ascii="Calibri" w:hAnsi="Calibri"/>
                <w:b/>
                <w:color w:val="30A46C"/>
                <w:sz w:val="22"/>
              </w:rPr>
              <w:t>Award (Compensation)</w:t>
            </w:r>
          </w:p>
        </w:tc>
        <w:tc>
          <w:tcPr>
            <w:tcW w:type="dxa" w:w="1234"/>
          </w:tcPr>
          <w:p>
            <w:r>
              <w:rPr>
                <w:rFonts w:ascii="Calibri" w:hAnsi="Calibri"/>
                <w:sz w:val="22"/>
              </w:rPr>
              <w:t>712 each (Jun); 2–109 each (Jul)</w:t>
            </w:r>
          </w:p>
        </w:tc>
        <w:tc>
          <w:tcPr>
            <w:tcW w:type="dxa" w:w="1234"/>
          </w:tcPr>
          <w:p>
            <w:r>
              <w:rPr>
                <w:rFonts w:ascii="Calibri" w:hAnsi="Calibri"/>
                <w:sz w:val="22"/>
              </w:rPr>
              <w:t>A</w:t>
            </w:r>
          </w:p>
        </w:tc>
        <w:tc>
          <w:tcPr>
            <w:tcW w:type="dxa" w:w="1234"/>
          </w:tcPr>
          <w:p>
            <w:r>
              <w:rPr>
                <w:rFonts w:ascii="Calibri" w:hAnsi="Calibri"/>
                <w:sz w:val="22"/>
              </w:rPr>
              <w:t>Various</w:t>
            </w:r>
          </w:p>
        </w:tc>
      </w:tr>
      <w:tr>
        <w:tc>
          <w:tcPr>
            <w:tcW w:type="dxa" w:w="1234"/>
          </w:tcPr>
          <w:p>
            <w:r>
              <w:rPr>
                <w:rFonts w:ascii="Calibri" w:hAnsi="Calibri"/>
                <w:sz w:val="22"/>
              </w:rPr>
              <w:t>Multiple Directors (6)</w:t>
            </w:r>
          </w:p>
        </w:tc>
        <w:tc>
          <w:tcPr>
            <w:tcW w:type="dxa" w:w="1234"/>
          </w:tcPr>
          <w:p>
            <w:r>
              <w:rPr>
                <w:rFonts w:ascii="Calibri" w:hAnsi="Calibri"/>
                <w:sz w:val="22"/>
              </w:rPr>
              <w:t>Board</w:t>
            </w:r>
          </w:p>
        </w:tc>
        <w:tc>
          <w:tcPr>
            <w:tcW w:type="dxa" w:w="1234"/>
          </w:tcPr>
          <w:p>
            <w:r>
              <w:rPr>
                <w:rFonts w:ascii="Calibri" w:hAnsi="Calibri"/>
                <w:sz w:val="22"/>
              </w:rPr>
              <w:t>May 6–7, 2026</w:t>
            </w:r>
          </w:p>
        </w:tc>
        <w:tc>
          <w:tcPr>
            <w:tcW w:type="dxa" w:w="1234"/>
          </w:tcPr>
          <w:p>
            <w:r>
              <w:rPr>
                <w:rFonts w:ascii="Calibri" w:hAnsi="Calibri"/>
                <w:b/>
                <w:color w:val="30A46C"/>
                <w:sz w:val="22"/>
              </w:rPr>
              <w:t>Award (Compensation)</w:t>
            </w:r>
          </w:p>
        </w:tc>
        <w:tc>
          <w:tcPr>
            <w:tcW w:type="dxa" w:w="1234"/>
          </w:tcPr>
          <w:p>
            <w:r>
              <w:rPr>
                <w:rFonts w:ascii="Calibri" w:hAnsi="Calibri"/>
                <w:sz w:val="22"/>
              </w:rPr>
              <w:t>79–158 each</w:t>
            </w:r>
          </w:p>
        </w:tc>
        <w:tc>
          <w:tcPr>
            <w:tcW w:type="dxa" w:w="1234"/>
          </w:tcPr>
          <w:p>
            <w:r>
              <w:rPr>
                <w:rFonts w:ascii="Calibri" w:hAnsi="Calibri"/>
                <w:sz w:val="22"/>
              </w:rPr>
              <w:t>A</w:t>
            </w:r>
          </w:p>
        </w:tc>
        <w:tc>
          <w:tcPr>
            <w:tcW w:type="dxa" w:w="1234"/>
          </w:tcPr>
          <w:p>
            <w:r>
              <w:rPr>
                <w:rFonts w:ascii="Calibri" w:hAnsi="Calibri"/>
                <w:sz w:val="22"/>
              </w:rPr>
              <w:t>Various</w:t>
            </w:r>
          </w:p>
        </w:tc>
      </w:tr>
    </w:tbl>
    <w:p>
      <w:r>
        <w:rPr>
          <w:rFonts w:ascii="Calibri" w:hAnsi="Calibri"/>
          <w:b/>
          <w:color w:val="525866"/>
          <w:sz w:val="22"/>
        </w:rPr>
        <w:t xml:space="preserve">Transaction Code Key: </w:t>
      </w:r>
      <w:r>
        <w:rPr>
          <w:rFonts w:ascii="Calibri" w:hAnsi="Calibri"/>
          <w:color w:val="525866"/>
          <w:sz w:val="22"/>
        </w:rPr>
        <w:t>A = Award/Grant (compensation); S = Open-market sale; F = Tax withholding on vesting; G = Gift. No open-market purchases (code P) were recorded in the period.</w:t>
      </w:r>
    </w:p>
    <w:p>
      <w:r>
        <w:rPr>
          <w:rFonts w:ascii="Calibri" w:hAnsi="Calibri"/>
          <w:i/>
          <w:color w:val="525866"/>
          <w:sz w:val="22"/>
        </w:rPr>
        <w:t>Source: Insider Transaction Data (SEC Form 4 filings, April 23 – July 14, 2026).</w:t>
      </w:r>
    </w:p>
    <w:sectPr w:rsidR="00FC693F" w:rsidRPr="0006063C" w:rsidSect="00034616">
      <w:headerReference w:type="default" r:id="rId10"/>
      <w:footerReference w:type="default" r:id="rId11"/>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tabs>
        <w:tab w:pos="8640" w:val="right"/>
      </w:tabs>
      <w:spacing w:before="0" w:after="0" w:line="240" w:lineRule="auto"/>
      <w:jc w:val="left"/>
    </w:pPr>
    <w:r>
      <w:rPr>
        <w:rFonts w:ascii="Calibri" w:hAnsi="Calibri"/>
        <w:i/>
        <w:color w:val="525866"/>
        <w:sz w:val="20"/>
      </w:rPr>
      <w:t>We do the work, you make the call</w:t>
    </w:r>
    <w:r>
      <w:tab/>
    </w:r>
    <w:r>
      <w:rPr>
        <w:rFonts w:ascii="Calibri" w:hAnsi="Calibri"/>
        <w:i/>
        <w:color w:val="FB9120"/>
        <w:sz w:val="20"/>
      </w:rPr>
      <w:t>app.implied.com/trial</w:t>
    </w:r>
  </w:p>
</w:ftr>
</file>

<file path=word/header1.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tabs>
        <w:tab w:pos="8640" w:val="right"/>
      </w:tabs>
      <w:spacing w:before="0" w:after="0" w:line="240" w:lineRule="auto"/>
      <w:jc w:val="left"/>
    </w:pPr>
    <w:r>
      <w:drawing>
        <wp:inline xmlns:a="http://schemas.openxmlformats.org/drawingml/2006/main" xmlns:pic="http://schemas.openxmlformats.org/drawingml/2006/picture">
          <wp:extent cx="5486400" cy="274320"/>
          <wp:docPr id="1" name="Picture 1"/>
          <wp:cNvGraphicFramePr>
            <a:graphicFrameLocks noChangeAspect="1"/>
          </wp:cNvGraphicFramePr>
          <a:graphic>
            <a:graphicData uri="http://schemas.openxmlformats.org/drawingml/2006/picture">
              <pic:pic>
                <pic:nvPicPr>
                  <pic:cNvPr id="0" name="ImpliedPromotionalHeader.png"/>
                  <pic:cNvPicPr/>
                </pic:nvPicPr>
                <pic:blipFill>
                  <a:blip r:embed="rId1"/>
                  <a:stretch>
                    <a:fillRect/>
                  </a:stretch>
                </pic:blipFill>
                <pic:spPr>
                  <a:xfrm>
                    <a:off x="0" y="0"/>
                    <a:ext cx="5486400" cy="274320"/>
                  </a:xfrm>
                  <a:prstGeom prst="rect"/>
                </pic:spPr>
              </pic:pic>
            </a:graphicData>
          </a:graphic>
        </wp:inline>
      </w:drawing>
    </w: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rPr>
      <w:rFonts w:ascii="Calibri" w:hAnsi="Calibri"/>
      <w:sz w:val="22"/>
    </w:r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image" Target="media/image1.png"/><Relationship Id="rId10" Type="http://schemas.openxmlformats.org/officeDocument/2006/relationships/header" Target="header1.xml"/><Relationship Id="rId11"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