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Steel Dynamics, Inc. (STLD) — 2Q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Steel Dynamics, Inc.</w:t>
            </w:r>
          </w:p>
        </w:tc>
      </w:tr>
      <w:tr>
        <w:tc>
          <w:tcPr>
            <w:tcW w:type="dxa" w:w="4320"/>
          </w:tcPr>
          <w:p>
            <w:r>
              <w:rPr>
                <w:rFonts w:ascii="Calibri" w:hAnsi="Calibri"/>
                <w:b/>
                <w:sz w:val="22"/>
              </w:rPr>
              <w:t>Ticker</w:t>
            </w:r>
          </w:p>
        </w:tc>
        <w:tc>
          <w:tcPr>
            <w:tcW w:type="dxa" w:w="4320"/>
          </w:tcPr>
          <w:p>
            <w:r>
              <w:rPr>
                <w:rFonts w:ascii="Calibri" w:hAnsi="Calibri"/>
                <w:sz w:val="22"/>
              </w:rPr>
              <w:t>STLD (NASDAQ)</w:t>
            </w:r>
          </w:p>
        </w:tc>
      </w:tr>
      <w:tr>
        <w:tc>
          <w:tcPr>
            <w:tcW w:type="dxa" w:w="4320"/>
          </w:tcPr>
          <w:p>
            <w:r>
              <w:rPr>
                <w:rFonts w:ascii="Calibri" w:hAnsi="Calibri"/>
                <w:b/>
                <w:sz w:val="22"/>
              </w:rPr>
              <w:t>Reporting Period</w:t>
            </w:r>
          </w:p>
        </w:tc>
        <w:tc>
          <w:tcPr>
            <w:tcW w:type="dxa" w:w="4320"/>
          </w:tcPr>
          <w:p>
            <w:r>
              <w:rPr>
                <w:rFonts w:ascii="Calibri" w:hAnsi="Calibri"/>
                <w:sz w:val="22"/>
              </w:rPr>
              <w:t>2Q 2026 (quarter ending June 30, 2026)</w:t>
            </w:r>
          </w:p>
        </w:tc>
      </w:tr>
      <w:tr>
        <w:tc>
          <w:tcPr>
            <w:tcW w:type="dxa" w:w="4320"/>
          </w:tcPr>
          <w:p>
            <w:r>
              <w:rPr>
                <w:rFonts w:ascii="Calibri" w:hAnsi="Calibri"/>
                <w:b/>
                <w:sz w:val="22"/>
              </w:rPr>
              <w:t>Earnings Release</w:t>
            </w:r>
          </w:p>
        </w:tc>
        <w:tc>
          <w:tcPr>
            <w:tcW w:type="dxa" w:w="4320"/>
          </w:tcPr>
          <w:p>
            <w:r>
              <w:rPr>
                <w:rFonts w:ascii="Calibri" w:hAnsi="Calibri"/>
                <w:sz w:val="22"/>
              </w:rPr>
              <w:t>After market close, July 20, 2026</w:t>
            </w:r>
          </w:p>
        </w:tc>
      </w:tr>
      <w:tr>
        <w:tc>
          <w:tcPr>
            <w:tcW w:type="dxa" w:w="4320"/>
          </w:tcPr>
          <w:p>
            <w:r>
              <w:rPr>
                <w:rFonts w:ascii="Calibri" w:hAnsi="Calibri"/>
                <w:b/>
                <w:sz w:val="22"/>
              </w:rPr>
              <w:t>Conference Call</w:t>
            </w:r>
          </w:p>
        </w:tc>
        <w:tc>
          <w:tcPr>
            <w:tcW w:type="dxa" w:w="4320"/>
          </w:tcPr>
          <w:p>
            <w:r>
              <w:rPr>
                <w:rFonts w:ascii="Calibri" w:hAnsi="Calibri"/>
                <w:sz w:val="22"/>
              </w:rPr>
              <w:t>July 21, 2026 at 11:00 AM ET</w:t>
            </w:r>
          </w:p>
        </w:tc>
      </w:tr>
      <w:tr>
        <w:tc>
          <w:tcPr>
            <w:tcW w:type="dxa" w:w="4320"/>
          </w:tcPr>
          <w:p>
            <w:r>
              <w:rPr>
                <w:rFonts w:ascii="Calibri" w:hAnsi="Calibri"/>
                <w:b/>
                <w:sz w:val="22"/>
              </w:rPr>
              <w:t>Prepared</w:t>
            </w:r>
          </w:p>
        </w:tc>
        <w:tc>
          <w:tcPr>
            <w:tcW w:type="dxa" w:w="4320"/>
          </w:tcPr>
          <w:p>
            <w:r>
              <w:rPr>
                <w:rFonts w:ascii="Calibri" w:hAnsi="Calibri"/>
                <w:sz w:val="22"/>
              </w:rPr>
              <w:t>July 19,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management pre-guided 2Q EPS to $3.51–$3.55 and consensus has since drifted </w:t>
      </w:r>
      <w:r>
        <w:rPr>
          <w:rFonts w:ascii="Calibri" w:hAnsi="Calibri"/>
          <w:b/>
          <w:color w:val="525866"/>
          <w:sz w:val="22"/>
        </w:rPr>
        <w:t>below</w:t>
      </w:r>
      <w:r>
        <w:rPr>
          <w:rFonts w:ascii="Calibri" w:hAnsi="Calibri"/>
          <w:color w:val="525866"/>
          <w:sz w:val="22"/>
        </w:rPr>
        <w:t xml:space="preserve"> that range at ~$3.64 (current) vs. the $4.06 post-Q1 print baseline, with the biggest swing factor being </w:t>
      </w:r>
      <w:r>
        <w:rPr>
          <w:rFonts w:ascii="Calibri" w:hAnsi="Calibri"/>
          <w:b/>
          <w:color w:val="525866"/>
          <w:sz w:val="22"/>
        </w:rPr>
        <w:t>aluminum EBITDA trajectory</w:t>
      </w:r>
      <w:r>
        <w:rPr>
          <w:rFonts w:ascii="Calibri" w:hAnsi="Calibri"/>
          <w:color w:val="525866"/>
          <w:sz w:val="22"/>
        </w:rPr>
        <w:t xml:space="preserve"> and whether the sharp shipment ramp (guided 60–70 KT vs. 22.5 KT in Q1) materializes as expected.</w:t>
      </w:r>
    </w:p>
    <w:p>
      <w:r>
        <w:rPr>
          <w:rFonts w:ascii="Calibri" w:hAnsi="Calibri"/>
          <w:color w:val="525866"/>
          <w:sz w:val="22"/>
        </w:rPr>
        <w:t xml:space="preserve">Steel Dynamics heads into its 2Q 2026 print with a </w:t>
      </w:r>
      <w:r>
        <w:rPr>
          <w:rFonts w:ascii="Calibri" w:hAnsi="Calibri"/>
          <w:b/>
          <w:color w:val="525866"/>
          <w:sz w:val="22"/>
        </w:rPr>
        <w:t>constructive but nuanced setup</w:t>
      </w:r>
      <w:r>
        <w:rPr>
          <w:rFonts w:ascii="Calibri" w:hAnsi="Calibri"/>
          <w:color w:val="525866"/>
          <w:sz w:val="22"/>
        </w:rPr>
        <w:t xml:space="preserve">: management issued formal EPS guidance of $3.51–$3.55 on June 17, embedding a $16M asset write-down from the Arizona-to-Mississippi satellite slab center relocation, which means the underlying operational run-rate is arguably cleaner than the headline implies. The steel operations bar is clearly high — management guided profitability "meaningfully higher" than Q1's record $557M operating income, driven by metal margin expansion as realized selling values outpaced scrap costs — and peer commentary from Nucor (April 28) and CLF (April 20) corroborates a strong pricing and demand environment through the quarter, with HRC spot above $1,000/ton and import share at multi-decade lows (~15%). </w:t>
      </w:r>
      <w:r>
        <w:rPr>
          <w:rFonts w:ascii="Calibri" w:hAnsi="Calibri"/>
          <w:b/>
          <w:color w:val="525866"/>
          <w:sz w:val="22"/>
        </w:rPr>
        <w:t>Estimate revisions have moved sharply lower since the post-Q1 baseline</w:t>
      </w:r>
      <w:r>
        <w:rPr>
          <w:rFonts w:ascii="Calibri" w:hAnsi="Calibri"/>
          <w:color w:val="525866"/>
          <w:sz w:val="22"/>
        </w:rPr>
        <w:t xml:space="preserve"> (2Q EPS consensus fell from $4.06 immediately post-Q1 to $3.64 today, a ~10% cut), largely reflecting the guidance reset and write-down, not deteriorating fundamentals — creating a low bar relative to the operational momentum. The stock has rallied ~13% since the Q1 print (April 21) but pulled back ~14% over the past month from its June peak near $282, suggesting the market has partially de-risked the aluminum execution story. The </w:t>
      </w:r>
      <w:r>
        <w:rPr>
          <w:rFonts w:ascii="Calibri" w:hAnsi="Calibri"/>
          <w:b/>
          <w:color w:val="525866"/>
          <w:sz w:val="22"/>
        </w:rPr>
        <w:t>key wildcard</w:t>
      </w:r>
      <w:r>
        <w:rPr>
          <w:rFonts w:ascii="Calibri" w:hAnsi="Calibri"/>
          <w:color w:val="525866"/>
          <w:sz w:val="22"/>
        </w:rPr>
        <w:t xml:space="preserve"> is aluminum: Q2 shipments guided to 60–70 KT (vs. 22.5 KT in Q1) and EBITDA guided to improve "significantly" — if the ramp is tracking toward the high end and management signals confidence in the $650–$700M through-cycle EBITDA target (or hints at an upward revision), the stock could re-rate meaningfully; a shortfall or further operational hiccup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heading into the print — the 2Q EPS estimate of $3.64 sits below management’s own guidance midpoint of $3.53 (adjusted for the write-down), and the steel operations beat is already telegraphed. </w:t>
      </w:r>
      <w:r>
        <w:rPr>
          <w:rFonts w:ascii="Calibri" w:hAnsi="Calibri"/>
          <w:b/>
          <w:color w:val="525866"/>
          <w:sz w:val="22"/>
        </w:rPr>
        <w:t>Aluminum EBITDA</w:t>
      </w:r>
      <w:r>
        <w:rPr>
          <w:rFonts w:ascii="Calibri" w:hAnsi="Calibri"/>
          <w:color w:val="525866"/>
          <w:sz w:val="22"/>
        </w:rPr>
        <w:t xml:space="preserve"> is the bigger swing factor: consensus at ~$7M for 2Q is well below what a 60–70 KT shipment quarter at improving spreads could deliver.</w:t>
      </w:r>
    </w:p>
    <w:p>
      <w:pPr>
        <w:pStyle w:val="Heading3"/>
      </w:pPr>
      <w:r>
        <w:rPr>
          <w:rFonts w:ascii="Calibri" w:hAnsi="Calibri"/>
          <w:b/>
          <w:color w:val="3B4259"/>
          <w:sz w:val="24"/>
        </w:rPr>
        <w:t>Table 1 — 2Q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 (Last Quarter)</w:t>
            </w:r>
          </w:p>
        </w:tc>
        <w:tc>
          <w:tcPr>
            <w:tcW w:type="dxa" w:w="1234"/>
            <w:shd w:val="clear" w:color="auto" w:fill="3B4259"/>
          </w:tcPr>
          <w:p>
            <w:r>
              <w:rPr>
                <w:rFonts w:ascii="Calibri" w:hAnsi="Calibri"/>
                <w:b/>
                <w:color w:val="FFFFFF"/>
                <w:sz w:val="22"/>
              </w:rPr>
              <w:t>2Q 2025 Actual (Prior Year)</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(2Q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w:t>
            </w:r>
          </w:p>
        </w:tc>
        <w:tc>
          <w:tcPr>
            <w:tcW w:type="dxa" w:w="1234"/>
          </w:tcPr>
          <w:p>
            <w:r>
              <w:rPr>
                <w:rFonts w:ascii="Calibri" w:hAnsi="Calibri"/>
                <w:sz w:val="22"/>
              </w:rPr>
              <w:t>$2.78</w:t>
            </w:r>
          </w:p>
        </w:tc>
        <w:tc>
          <w:tcPr>
            <w:tcW w:type="dxa" w:w="1234"/>
          </w:tcPr>
          <w:p>
            <w:r>
              <w:rPr>
                <w:rFonts w:ascii="Calibri" w:hAnsi="Calibri"/>
                <w:sz w:val="22"/>
              </w:rPr>
              <w:t>$2.01</w:t>
            </w:r>
          </w:p>
        </w:tc>
        <w:tc>
          <w:tcPr>
            <w:tcW w:type="dxa" w:w="1234"/>
          </w:tcPr>
          <w:p>
            <w:r>
              <w:rPr>
                <w:rFonts w:ascii="Calibri" w:hAnsi="Calibri"/>
                <w:sz w:val="22"/>
              </w:rPr>
              <w:t>$3.64</w:t>
            </w:r>
          </w:p>
        </w:tc>
        <w:tc>
          <w:tcPr>
            <w:tcW w:type="dxa" w:w="1234"/>
          </w:tcPr>
          <w:p>
            <w:r>
              <w:rPr>
                <w:rFonts w:ascii="Calibri" w:hAnsi="Calibri"/>
                <w:sz w:val="22"/>
              </w:rPr>
              <w:t>+81% YoY</w:t>
            </w:r>
          </w:p>
        </w:tc>
        <w:tc>
          <w:tcPr>
            <w:tcW w:type="dxa" w:w="1234"/>
          </w:tcPr>
          <w:p>
            <w:r>
              <w:rPr>
                <w:rFonts w:ascii="Calibri" w:hAnsi="Calibri"/>
                <w:sz w:val="22"/>
              </w:rPr>
              <w:t>$3.51–$3.55 (midpoint $3.53; includes ~$0.09 write-down headwind)</w:t>
            </w:r>
          </w:p>
        </w:tc>
        <w:tc>
          <w:tcPr>
            <w:tcW w:type="dxa" w:w="1234"/>
          </w:tcPr>
          <w:p>
            <w:r>
              <w:rPr>
                <w:rFonts w:ascii="Calibri" w:hAnsi="Calibri"/>
                <w:sz w:val="22"/>
              </w:rPr>
              <w:t>+3.1% above guidance midpoint</w:t>
            </w:r>
          </w:p>
        </w:tc>
      </w:tr>
      <w:tr>
        <w:tc>
          <w:tcPr>
            <w:tcW w:type="dxa" w:w="1234"/>
          </w:tcPr>
          <w:p>
            <w:r>
              <w:rPr>
                <w:rFonts w:ascii="Calibri" w:hAnsi="Calibri"/>
                <w:sz w:val="22"/>
              </w:rPr>
              <w:t>Net Sales ($B)</w:t>
            </w:r>
          </w:p>
        </w:tc>
        <w:tc>
          <w:tcPr>
            <w:tcW w:type="dxa" w:w="1234"/>
          </w:tcPr>
          <w:p>
            <w:r>
              <w:rPr>
                <w:rFonts w:ascii="Calibri" w:hAnsi="Calibri"/>
                <w:sz w:val="22"/>
              </w:rPr>
              <w:t>$5.20B</w:t>
            </w:r>
          </w:p>
        </w:tc>
        <w:tc>
          <w:tcPr>
            <w:tcW w:type="dxa" w:w="1234"/>
          </w:tcPr>
          <w:p>
            <w:r>
              <w:rPr>
                <w:rFonts w:ascii="Calibri" w:hAnsi="Calibri"/>
                <w:sz w:val="22"/>
              </w:rPr>
              <w:t>$4.57B</w:t>
            </w:r>
          </w:p>
        </w:tc>
        <w:tc>
          <w:tcPr>
            <w:tcW w:type="dxa" w:w="1234"/>
          </w:tcPr>
          <w:p>
            <w:r>
              <w:rPr>
                <w:rFonts w:ascii="Calibri" w:hAnsi="Calibri"/>
                <w:sz w:val="22"/>
              </w:rPr>
              <w:t>$5.65B</w:t>
            </w:r>
          </w:p>
        </w:tc>
        <w:tc>
          <w:tcPr>
            <w:tcW w:type="dxa" w:w="1234"/>
          </w:tcPr>
          <w:p>
            <w:r>
              <w:rPr>
                <w:rFonts w:ascii="Calibri" w:hAnsi="Calibri"/>
                <w:sz w:val="22"/>
              </w:rPr>
              <w:t>+23.7% YoY</w:t>
            </w:r>
          </w:p>
        </w:tc>
        <w:tc>
          <w:tcPr>
            <w:tcW w:type="dxa" w:w="1234"/>
          </w:tcPr>
          <w:p>
            <w:r>
              <w:rPr>
                <w:rFonts w:ascii="Calibri" w:hAnsi="Calibri"/>
                <w:sz w:val="22"/>
              </w:rPr>
              <w:t>No specific revenue guidance; steel ops "meaningfully higher"</w:t>
            </w:r>
          </w:p>
        </w:tc>
        <w:tc>
          <w:tcPr>
            <w:tcW w:type="dxa" w:w="1234"/>
          </w:tcPr>
          <w:p>
            <w:r>
              <w:rPr>
                <w:rFonts w:ascii="Calibri" w:hAnsi="Calibri"/>
                <w:sz w:val="22"/>
              </w:rPr>
              <w:t>N/A (no revenue guidance)</w:t>
            </w:r>
          </w:p>
        </w:tc>
      </w:tr>
      <w:tr>
        <w:tc>
          <w:tcPr>
            <w:tcW w:type="dxa" w:w="1234"/>
          </w:tcPr>
          <w:p>
            <w:r>
              <w:rPr>
                <w:rFonts w:ascii="Calibri" w:hAnsi="Calibri"/>
                <w:sz w:val="22"/>
              </w:rPr>
              <w:t>EBITDA ($M)</w:t>
            </w:r>
          </w:p>
        </w:tc>
        <w:tc>
          <w:tcPr>
            <w:tcW w:type="dxa" w:w="1234"/>
          </w:tcPr>
          <w:p>
            <w:r>
              <w:rPr>
                <w:rFonts w:ascii="Calibri" w:hAnsi="Calibri"/>
                <w:sz w:val="22"/>
              </w:rPr>
              <w:t>$697M</w:t>
            </w:r>
          </w:p>
        </w:tc>
        <w:tc>
          <w:tcPr>
            <w:tcW w:type="dxa" w:w="1234"/>
          </w:tcPr>
          <w:p>
            <w:r>
              <w:rPr>
                <w:rFonts w:ascii="Calibri" w:hAnsi="Calibri"/>
                <w:sz w:val="22"/>
              </w:rPr>
              <w:t>$516M</w:t>
            </w:r>
          </w:p>
        </w:tc>
        <w:tc>
          <w:tcPr>
            <w:tcW w:type="dxa" w:w="1234"/>
          </w:tcPr>
          <w:p>
            <w:r>
              <w:rPr>
                <w:rFonts w:ascii="Calibri" w:hAnsi="Calibri"/>
                <w:sz w:val="22"/>
              </w:rPr>
              <w:t>$875M</w:t>
            </w:r>
          </w:p>
        </w:tc>
        <w:tc>
          <w:tcPr>
            <w:tcW w:type="dxa" w:w="1234"/>
          </w:tcPr>
          <w:p>
            <w:r>
              <w:rPr>
                <w:rFonts w:ascii="Calibri" w:hAnsi="Calibri"/>
                <w:sz w:val="22"/>
              </w:rPr>
              <w:t>+69.6% YoY</w:t>
            </w:r>
          </w:p>
        </w:tc>
        <w:tc>
          <w:tcPr>
            <w:tcW w:type="dxa" w:w="1234"/>
          </w:tcPr>
          <w:p>
            <w:r>
              <w:rPr>
                <w:rFonts w:ascii="Calibri" w:hAnsi="Calibri"/>
                <w:sz w:val="22"/>
              </w:rPr>
              <w:t>No explicit EBITDA guidance</w:t>
            </w:r>
          </w:p>
        </w:tc>
        <w:tc>
          <w:tcPr>
            <w:tcW w:type="dxa" w:w="1234"/>
          </w:tcPr>
          <w:p>
            <w:r>
              <w:rPr>
                <w:rFonts w:ascii="Calibri" w:hAnsi="Calibri"/>
                <w:sz w:val="22"/>
              </w:rPr>
              <w:t>N/A</w:t>
            </w:r>
          </w:p>
        </w:tc>
      </w:tr>
      <w:tr>
        <w:tc>
          <w:tcPr>
            <w:tcW w:type="dxa" w:w="1234"/>
          </w:tcPr>
          <w:p>
            <w:r>
              <w:rPr>
                <w:rFonts w:ascii="Calibri" w:hAnsi="Calibri"/>
                <w:sz w:val="22"/>
              </w:rPr>
              <w:t>Steel Sales Volume (KTons)</w:t>
            </w:r>
          </w:p>
        </w:tc>
        <w:tc>
          <w:tcPr>
            <w:tcW w:type="dxa" w:w="1234"/>
          </w:tcPr>
          <w:p>
            <w:r>
              <w:rPr>
                <w:rFonts w:ascii="Calibri" w:hAnsi="Calibri"/>
                <w:sz w:val="22"/>
              </w:rPr>
              <w:t>3,782 KT (record)</w:t>
            </w:r>
          </w:p>
        </w:tc>
        <w:tc>
          <w:tcPr>
            <w:tcW w:type="dxa" w:w="1234"/>
          </w:tcPr>
          <w:p>
            <w:r>
              <w:rPr>
                <w:rFonts w:ascii="Calibri" w:hAnsi="Calibri"/>
                <w:sz w:val="22"/>
              </w:rPr>
              <w:t>3,485 KT</w:t>
            </w:r>
          </w:p>
        </w:tc>
        <w:tc>
          <w:tcPr>
            <w:tcW w:type="dxa" w:w="1234"/>
          </w:tcPr>
          <w:p>
            <w:r>
              <w:rPr>
                <w:rFonts w:ascii="Calibri" w:hAnsi="Calibri"/>
                <w:sz w:val="22"/>
              </w:rPr>
              <w:t>3,811 KT</w:t>
            </w:r>
          </w:p>
        </w:tc>
        <w:tc>
          <w:tcPr>
            <w:tcW w:type="dxa" w:w="1234"/>
          </w:tcPr>
          <w:p>
            <w:r>
              <w:rPr>
                <w:rFonts w:ascii="Calibri" w:hAnsi="Calibri"/>
                <w:sz w:val="22"/>
              </w:rPr>
              <w:t>+9.4% YoY</w:t>
            </w:r>
          </w:p>
        </w:tc>
        <w:tc>
          <w:tcPr>
            <w:tcW w:type="dxa" w:w="1234"/>
          </w:tcPr>
          <w:p>
            <w:r>
              <w:rPr>
                <w:rFonts w:ascii="Calibri" w:hAnsi="Calibri"/>
                <w:sz w:val="22"/>
              </w:rPr>
              <w:t>Strong demand; order activity strong; low inventories</w:t>
            </w:r>
          </w:p>
        </w:tc>
        <w:tc>
          <w:tcPr>
            <w:tcW w:type="dxa" w:w="1234"/>
          </w:tcPr>
          <w:p>
            <w:r>
              <w:rPr>
                <w:rFonts w:ascii="Calibri" w:hAnsi="Calibri"/>
                <w:sz w:val="22"/>
              </w:rPr>
              <w:t>N/A</w:t>
            </w:r>
          </w:p>
        </w:tc>
      </w:tr>
      <w:tr>
        <w:tc>
          <w:tcPr>
            <w:tcW w:type="dxa" w:w="1234"/>
          </w:tcPr>
          <w:p>
            <w:r>
              <w:rPr>
                <w:rFonts w:ascii="Calibri" w:hAnsi="Calibri"/>
                <w:sz w:val="22"/>
              </w:rPr>
              <w:t>Aluminum Shipments (KTons)</w:t>
            </w:r>
          </w:p>
        </w:tc>
        <w:tc>
          <w:tcPr>
            <w:tcW w:type="dxa" w:w="1234"/>
          </w:tcPr>
          <w:p>
            <w:r>
              <w:rPr>
                <w:rFonts w:ascii="Calibri" w:hAnsi="Calibri"/>
                <w:sz w:val="22"/>
              </w:rPr>
              <w:t>22.5 KT</w:t>
            </w:r>
          </w:p>
        </w:tc>
        <w:tc>
          <w:tcPr>
            <w:tcW w:type="dxa" w:w="1234"/>
          </w:tcPr>
          <w:p>
            <w:r>
              <w:rPr>
                <w:rFonts w:ascii="Calibri" w:hAnsi="Calibri"/>
                <w:sz w:val="22"/>
              </w:rPr>
              <w:t>19.2 KT</w:t>
            </w:r>
          </w:p>
        </w:tc>
        <w:tc>
          <w:tcPr>
            <w:tcW w:type="dxa" w:w="1234"/>
          </w:tcPr>
          <w:p>
            <w:r>
              <w:rPr>
                <w:rFonts w:ascii="Calibri" w:hAnsi="Calibri"/>
                <w:sz w:val="22"/>
              </w:rPr>
              <w:t>67.1 KT</w:t>
            </w:r>
          </w:p>
        </w:tc>
        <w:tc>
          <w:tcPr>
            <w:tcW w:type="dxa" w:w="1234"/>
          </w:tcPr>
          <w:p>
            <w:r>
              <w:rPr>
                <w:rFonts w:ascii="Calibri" w:hAnsi="Calibri"/>
                <w:sz w:val="22"/>
              </w:rPr>
              <w:t>+249% YoY</w:t>
            </w:r>
          </w:p>
        </w:tc>
        <w:tc>
          <w:tcPr>
            <w:tcW w:type="dxa" w:w="1234"/>
          </w:tcPr>
          <w:p>
            <w:r>
              <w:rPr>
                <w:rFonts w:ascii="Calibri" w:hAnsi="Calibri"/>
                <w:sz w:val="22"/>
              </w:rPr>
              <w:t>60–70 KT (management Q1 call guidance)</w:t>
            </w:r>
          </w:p>
        </w:tc>
        <w:tc>
          <w:tcPr>
            <w:tcW w:type="dxa" w:w="1234"/>
          </w:tcPr>
          <w:p>
            <w:r>
              <w:rPr>
                <w:rFonts w:ascii="Calibri" w:hAnsi="Calibri"/>
                <w:sz w:val="22"/>
              </w:rPr>
              <w:t>+1.7% above guidance midpoint (65 KT)</w:t>
            </w:r>
          </w:p>
        </w:tc>
      </w:tr>
      <w:tr>
        <w:tc>
          <w:tcPr>
            <w:tcW w:type="dxa" w:w="1234"/>
          </w:tcPr>
          <w:p>
            <w:r>
              <w:rPr>
                <w:rFonts w:ascii="Calibri" w:hAnsi="Calibri"/>
                <w:sz w:val="22"/>
              </w:rPr>
              <w:t>Aluminum EBITDA ($M)</w:t>
            </w:r>
          </w:p>
        </w:tc>
        <w:tc>
          <w:tcPr>
            <w:tcW w:type="dxa" w:w="1234"/>
          </w:tcPr>
          <w:p>
            <w:r>
              <w:rPr>
                <w:rFonts w:ascii="Calibri" w:hAnsi="Calibri"/>
                <w:sz w:val="22"/>
              </w:rPr>
              <w:t>($45.5M) loss</w:t>
            </w:r>
          </w:p>
        </w:tc>
        <w:tc>
          <w:tcPr>
            <w:tcW w:type="dxa" w:w="1234"/>
          </w:tcPr>
          <w:p>
            <w:r>
              <w:rPr>
                <w:rFonts w:ascii="Calibri" w:hAnsi="Calibri"/>
                <w:sz w:val="22"/>
              </w:rPr>
              <w:t>($37.8M) loss</w:t>
            </w:r>
          </w:p>
        </w:tc>
        <w:tc>
          <w:tcPr>
            <w:tcW w:type="dxa" w:w="1234"/>
          </w:tcPr>
          <w:p>
            <w:r>
              <w:rPr>
                <w:rFonts w:ascii="Calibri" w:hAnsi="Calibri"/>
                <w:sz w:val="22"/>
              </w:rPr>
              <w:t>$7.0M</w:t>
            </w:r>
          </w:p>
        </w:tc>
        <w:tc>
          <w:tcPr>
            <w:tcW w:type="dxa" w:w="1234"/>
          </w:tcPr>
          <w:p>
            <w:r>
              <w:rPr>
                <w:rFonts w:ascii="Calibri" w:hAnsi="Calibri"/>
                <w:sz w:val="22"/>
              </w:rPr>
              <w:t>N/M (loss to profit)</w:t>
            </w:r>
          </w:p>
        </w:tc>
        <w:tc>
          <w:tcPr>
            <w:tcW w:type="dxa" w:w="1234"/>
          </w:tcPr>
          <w:p>
            <w:r>
              <w:rPr>
                <w:rFonts w:ascii="Calibri" w:hAnsi="Calibri"/>
                <w:sz w:val="22"/>
              </w:rPr>
              <w:t>"Improve significantly" vs. Q1; increased shipments &amp; higher pricing</w:t>
            </w:r>
          </w:p>
        </w:tc>
        <w:tc>
          <w:tcPr>
            <w:tcW w:type="dxa" w:w="1234"/>
          </w:tcPr>
          <w:p>
            <w:r>
              <w:rPr>
                <w:rFonts w:ascii="Calibri" w:hAnsi="Calibri"/>
                <w:sz w:val="22"/>
              </w:rPr>
              <w:t>N/A (no $ guidance)</w:t>
            </w:r>
          </w:p>
        </w:tc>
      </w:tr>
      <w:tr>
        <w:tc>
          <w:tcPr>
            <w:tcW w:type="dxa" w:w="1234"/>
          </w:tcPr>
          <w:p>
            <w:r>
              <w:rPr>
                <w:rFonts w:ascii="Calibri" w:hAnsi="Calibri"/>
                <w:sz w:val="22"/>
              </w:rPr>
              <w:t>Free Cash Flow ($M)</w:t>
            </w:r>
          </w:p>
        </w:tc>
        <w:tc>
          <w:tcPr>
            <w:tcW w:type="dxa" w:w="1234"/>
          </w:tcPr>
          <w:p>
            <w:r>
              <w:rPr>
                <w:rFonts w:ascii="Calibri" w:hAnsi="Calibri"/>
                <w:sz w:val="22"/>
              </w:rPr>
              <w:t>$10.3M</w:t>
            </w:r>
          </w:p>
        </w:tc>
        <w:tc>
          <w:tcPr>
            <w:tcW w:type="dxa" w:w="1234"/>
          </w:tcPr>
          <w:p>
            <w:r>
              <w:rPr>
                <w:rFonts w:ascii="Calibri" w:hAnsi="Calibri"/>
                <w:sz w:val="22"/>
              </w:rPr>
              <w:t>$13.3M</w:t>
            </w:r>
          </w:p>
        </w:tc>
        <w:tc>
          <w:tcPr>
            <w:tcW w:type="dxa" w:w="1234"/>
          </w:tcPr>
          <w:p>
            <w:r>
              <w:rPr>
                <w:rFonts w:ascii="Calibri" w:hAnsi="Calibri"/>
                <w:sz w:val="22"/>
              </w:rPr>
              <w:t>$525M</w:t>
            </w:r>
          </w:p>
        </w:tc>
        <w:tc>
          <w:tcPr>
            <w:tcW w:type="dxa" w:w="1234"/>
          </w:tcPr>
          <w:p>
            <w:r>
              <w:rPr>
                <w:rFonts w:ascii="Calibri" w:hAnsi="Calibri"/>
                <w:sz w:val="22"/>
              </w:rPr>
              <w:t>N/M</w:t>
            </w:r>
          </w:p>
        </w:tc>
        <w:tc>
          <w:tcPr>
            <w:tcW w:type="dxa" w:w="1234"/>
          </w:tcPr>
          <w:p>
            <w:r>
              <w:rPr>
                <w:rFonts w:ascii="Calibri" w:hAnsi="Calibri"/>
                <w:sz w:val="22"/>
              </w:rPr>
              <w:t>No specific FCF guidance; CapEx ~$600M full year</w:t>
            </w:r>
          </w:p>
        </w:tc>
        <w:tc>
          <w:tcPr>
            <w:tcW w:type="dxa" w:w="1234"/>
          </w:tcPr>
          <w:p>
            <w:r>
              <w:rPr>
                <w:rFonts w:ascii="Calibri" w:hAnsi="Calibri"/>
                <w:sz w:val="22"/>
              </w:rPr>
              <w:t>N/A</w:t>
            </w:r>
          </w:p>
        </w:tc>
      </w:tr>
    </w:tbl>
    <w:p>
      <w:r>
        <w:rPr>
          <w:rFonts w:ascii="Calibri" w:hAnsi="Calibri"/>
          <w:i/>
          <w:color w:val="525866"/>
          <w:sz w:val="22"/>
        </w:rPr>
        <w:t>Sources: Visible Alpha Consensus and Actuals Data (EPS, Net Sales, EBITDA, Steel Volume, Aluminum EBITDA, FCF); Steel Dynamics 2Q 2026 Earnings Guidance (June 17, 2026 8-K); Steel Dynamics 1Q 2026 Earnings Release and Transcript (April 21, 2026).</w:t>
      </w:r>
    </w:p>
    <w:p>
      <w:pPr>
        <w:pStyle w:val="Heading3"/>
      </w:pPr>
      <w:r>
        <w:rPr>
          <w:rFonts w:ascii="Calibri" w:hAnsi="Calibri"/>
          <w:b/>
          <w:color w:val="3B4259"/>
          <w:sz w:val="24"/>
        </w:rPr>
        <w:t>Table 2 — Beat/Miss History: Last 8 Quarters (Top 2 KPIs: Operating EPS &amp; Steel Sales Volume)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1Q 2026</w:t>
            </w:r>
          </w:p>
        </w:tc>
        <w:tc>
          <w:tcPr>
            <w:tcW w:type="dxa" w:w="1440"/>
          </w:tcPr>
          <w:p>
            <w:r>
              <w:rPr>
                <w:rFonts w:ascii="Calibri" w:hAnsi="Calibri"/>
                <w:sz w:val="22"/>
              </w:rPr>
              <w:t>Operating EPS</w:t>
            </w:r>
          </w:p>
        </w:tc>
        <w:tc>
          <w:tcPr>
            <w:tcW w:type="dxa" w:w="1440"/>
          </w:tcPr>
          <w:p>
            <w:r>
              <w:rPr>
                <w:rFonts w:ascii="Calibri" w:hAnsi="Calibri"/>
                <w:sz w:val="22"/>
              </w:rPr>
              <w:t>$2.78</w:t>
            </w:r>
          </w:p>
        </w:tc>
        <w:tc>
          <w:tcPr>
            <w:tcW w:type="dxa" w:w="1440"/>
          </w:tcPr>
          <w:p>
            <w:r>
              <w:rPr>
                <w:rFonts w:ascii="Calibri" w:hAnsi="Calibri"/>
                <w:sz w:val="22"/>
              </w:rPr>
              <w:t>$2.78</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1Q 2026</w:t>
            </w:r>
          </w:p>
        </w:tc>
        <w:tc>
          <w:tcPr>
            <w:tcW w:type="dxa" w:w="1440"/>
          </w:tcPr>
          <w:p>
            <w:r>
              <w:rPr>
                <w:rFonts w:ascii="Calibri" w:hAnsi="Calibri"/>
                <w:sz w:val="22"/>
              </w:rPr>
              <w:t>Steel Volume (KT)</w:t>
            </w:r>
          </w:p>
        </w:tc>
        <w:tc>
          <w:tcPr>
            <w:tcW w:type="dxa" w:w="1440"/>
          </w:tcPr>
          <w:p>
            <w:r>
              <w:rPr>
                <w:rFonts w:ascii="Calibri" w:hAnsi="Calibri"/>
                <w:sz w:val="22"/>
              </w:rPr>
              <w:t>3,782 KT</w:t>
            </w:r>
          </w:p>
        </w:tc>
        <w:tc>
          <w:tcPr>
            <w:tcW w:type="dxa" w:w="1440"/>
          </w:tcPr>
          <w:p>
            <w:r>
              <w:rPr>
                <w:rFonts w:ascii="Calibri" w:hAnsi="Calibri"/>
                <w:sz w:val="22"/>
              </w:rPr>
              <w:t>3,668 KT</w:t>
            </w:r>
          </w:p>
        </w:tc>
        <w:tc>
          <w:tcPr>
            <w:tcW w:type="dxa" w:w="1440"/>
          </w:tcPr>
          <w:p>
            <w:r>
              <w:rPr>
                <w:rFonts w:ascii="Calibri" w:hAnsi="Calibri"/>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4Q 2025</w:t>
            </w:r>
          </w:p>
        </w:tc>
        <w:tc>
          <w:tcPr>
            <w:tcW w:type="dxa" w:w="1440"/>
          </w:tcPr>
          <w:p>
            <w:r>
              <w:rPr>
                <w:rFonts w:ascii="Calibri" w:hAnsi="Calibri"/>
                <w:sz w:val="22"/>
              </w:rPr>
              <w:t>Operating EPS</w:t>
            </w:r>
          </w:p>
        </w:tc>
        <w:tc>
          <w:tcPr>
            <w:tcW w:type="dxa" w:w="1440"/>
          </w:tcPr>
          <w:p>
            <w:r>
              <w:rPr>
                <w:rFonts w:ascii="Calibri" w:hAnsi="Calibri"/>
                <w:sz w:val="22"/>
              </w:rPr>
              <w:t>$1.82</w:t>
            </w:r>
          </w:p>
        </w:tc>
        <w:tc>
          <w:tcPr>
            <w:tcW w:type="dxa" w:w="1440"/>
          </w:tcPr>
          <w:p>
            <w:r>
              <w:rPr>
                <w:rFonts w:ascii="Calibri" w:hAnsi="Calibri"/>
                <w:sz w:val="22"/>
              </w:rPr>
              <w:t>$1.70</w:t>
            </w:r>
          </w:p>
        </w:tc>
        <w:tc>
          <w:tcPr>
            <w:tcW w:type="dxa" w:w="1440"/>
          </w:tcPr>
          <w:p>
            <w:r>
              <w:rPr>
                <w:rFonts w:ascii="Calibri" w:hAnsi="Calibri"/>
                <w:sz w:val="22"/>
              </w:rPr>
              <w:t>+6.7%</w:t>
            </w:r>
          </w:p>
        </w:tc>
        <w:tc>
          <w:tcPr>
            <w:tcW w:type="dxa" w:w="1440"/>
          </w:tcPr>
          <w:p>
            <w:r>
              <w:rPr>
                <w:rFonts w:ascii="Calibri" w:hAnsi="Calibri"/>
                <w:b/>
                <w:color w:val="30A46C"/>
                <w:sz w:val="22"/>
              </w:rPr>
              <w:t>Beat</w:t>
            </w:r>
          </w:p>
        </w:tc>
      </w:tr>
      <w:tr>
        <w:tc>
          <w:tcPr>
            <w:tcW w:type="dxa" w:w="1440"/>
          </w:tcPr>
          <w:p>
            <w:r>
              <w:rPr>
                <w:rFonts w:ascii="Calibri" w:hAnsi="Calibri"/>
                <w:sz w:val="22"/>
              </w:rPr>
              <w:t>4Q 2025</w:t>
            </w:r>
          </w:p>
        </w:tc>
        <w:tc>
          <w:tcPr>
            <w:tcW w:type="dxa" w:w="1440"/>
          </w:tcPr>
          <w:p>
            <w:r>
              <w:rPr>
                <w:rFonts w:ascii="Calibri" w:hAnsi="Calibri"/>
                <w:sz w:val="22"/>
              </w:rPr>
              <w:t>Steel Volume (KT)</w:t>
            </w:r>
          </w:p>
        </w:tc>
        <w:tc>
          <w:tcPr>
            <w:tcW w:type="dxa" w:w="1440"/>
          </w:tcPr>
          <w:p>
            <w:r>
              <w:rPr>
                <w:rFonts w:ascii="Calibri" w:hAnsi="Calibri"/>
                <w:sz w:val="22"/>
              </w:rPr>
              <w:t>3,443 KT</w:t>
            </w:r>
          </w:p>
        </w:tc>
        <w:tc>
          <w:tcPr>
            <w:tcW w:type="dxa" w:w="1440"/>
          </w:tcPr>
          <w:p>
            <w:r>
              <w:rPr>
                <w:rFonts w:ascii="Calibri" w:hAnsi="Calibri"/>
                <w:sz w:val="22"/>
              </w:rPr>
              <w:t>3,498 KT</w:t>
            </w:r>
          </w:p>
        </w:tc>
        <w:tc>
          <w:tcPr>
            <w:tcW w:type="dxa" w:w="1440"/>
          </w:tcPr>
          <w:p>
            <w:r>
              <w:rPr>
                <w:rFonts w:ascii="Calibri" w:hAnsi="Calibri"/>
                <w:sz w:val="22"/>
              </w:rPr>
              <w:t>−1.6%</w:t>
            </w:r>
          </w:p>
        </w:tc>
        <w:tc>
          <w:tcPr>
            <w:tcW w:type="dxa" w:w="1440"/>
          </w:tcPr>
          <w:p>
            <w:r>
              <w:rPr>
                <w:rFonts w:ascii="Calibri" w:hAnsi="Calibri"/>
                <w:b/>
                <w:color w:val="E5484D"/>
                <w:sz w:val="22"/>
              </w:rPr>
              <w:t>Miss</w:t>
            </w:r>
          </w:p>
        </w:tc>
      </w:tr>
      <w:tr>
        <w:tc>
          <w:tcPr>
            <w:tcW w:type="dxa" w:w="1440"/>
          </w:tcPr>
          <w:p>
            <w:r>
              <w:rPr>
                <w:rFonts w:ascii="Calibri" w:hAnsi="Calibri"/>
                <w:sz w:val="22"/>
              </w:rPr>
              <w:t>3Q 2025</w:t>
            </w:r>
          </w:p>
        </w:tc>
        <w:tc>
          <w:tcPr>
            <w:tcW w:type="dxa" w:w="1440"/>
          </w:tcPr>
          <w:p>
            <w:r>
              <w:rPr>
                <w:rFonts w:ascii="Calibri" w:hAnsi="Calibri"/>
                <w:sz w:val="22"/>
              </w:rPr>
              <w:t>Operating EPS</w:t>
            </w:r>
          </w:p>
        </w:tc>
        <w:tc>
          <w:tcPr>
            <w:tcW w:type="dxa" w:w="1440"/>
          </w:tcPr>
          <w:p>
            <w:r>
              <w:rPr>
                <w:rFonts w:ascii="Calibri" w:hAnsi="Calibri"/>
                <w:sz w:val="22"/>
              </w:rPr>
              <w:t>$2.74</w:t>
            </w:r>
          </w:p>
        </w:tc>
        <w:tc>
          <w:tcPr>
            <w:tcW w:type="dxa" w:w="1440"/>
          </w:tcPr>
          <w:p>
            <w:r>
              <w:rPr>
                <w:rFonts w:ascii="Calibri" w:hAnsi="Calibri"/>
                <w:sz w:val="22"/>
              </w:rPr>
              <w:t>$2.63</w:t>
            </w:r>
          </w:p>
        </w:tc>
        <w:tc>
          <w:tcPr>
            <w:tcW w:type="dxa" w:w="1440"/>
          </w:tcPr>
          <w:p>
            <w:r>
              <w:rPr>
                <w:rFonts w:ascii="Calibri" w:hAnsi="Calibri"/>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3Q 2025</w:t>
            </w:r>
          </w:p>
        </w:tc>
        <w:tc>
          <w:tcPr>
            <w:tcW w:type="dxa" w:w="1440"/>
          </w:tcPr>
          <w:p>
            <w:r>
              <w:rPr>
                <w:rFonts w:ascii="Calibri" w:hAnsi="Calibri"/>
                <w:sz w:val="22"/>
              </w:rPr>
              <w:t>Steel Volume (KT)</w:t>
            </w:r>
          </w:p>
        </w:tc>
        <w:tc>
          <w:tcPr>
            <w:tcW w:type="dxa" w:w="1440"/>
          </w:tcPr>
          <w:p>
            <w:r>
              <w:rPr>
                <w:rFonts w:ascii="Calibri" w:hAnsi="Calibri"/>
                <w:sz w:val="22"/>
              </w:rPr>
              <w:t>3,765 KT</w:t>
            </w:r>
          </w:p>
        </w:tc>
        <w:tc>
          <w:tcPr>
            <w:tcW w:type="dxa" w:w="1440"/>
          </w:tcPr>
          <w:p>
            <w:r>
              <w:rPr>
                <w:rFonts w:ascii="Calibri" w:hAnsi="Calibri"/>
                <w:sz w:val="22"/>
              </w:rPr>
              <w:t>3,587 KT</w:t>
            </w:r>
          </w:p>
        </w:tc>
        <w:tc>
          <w:tcPr>
            <w:tcW w:type="dxa" w:w="1440"/>
          </w:tcPr>
          <w:p>
            <w:r>
              <w:rPr>
                <w:rFonts w:ascii="Calibri" w:hAnsi="Calibri"/>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2Q 2025</w:t>
            </w:r>
          </w:p>
        </w:tc>
        <w:tc>
          <w:tcPr>
            <w:tcW w:type="dxa" w:w="1440"/>
          </w:tcPr>
          <w:p>
            <w:r>
              <w:rPr>
                <w:rFonts w:ascii="Calibri" w:hAnsi="Calibri"/>
                <w:sz w:val="22"/>
              </w:rPr>
              <w:t>Operating EPS</w:t>
            </w:r>
          </w:p>
        </w:tc>
        <w:tc>
          <w:tcPr>
            <w:tcW w:type="dxa" w:w="1440"/>
          </w:tcPr>
          <w:p>
            <w:r>
              <w:rPr>
                <w:rFonts w:ascii="Calibri" w:hAnsi="Calibri"/>
                <w:sz w:val="22"/>
              </w:rPr>
              <w:t>$2.01</w:t>
            </w:r>
          </w:p>
        </w:tc>
        <w:tc>
          <w:tcPr>
            <w:tcW w:type="dxa" w:w="1440"/>
          </w:tcPr>
          <w:p>
            <w:r>
              <w:rPr>
                <w:rFonts w:ascii="Calibri" w:hAnsi="Calibri"/>
                <w:sz w:val="22"/>
              </w:rPr>
              <w:t>$2.20</w:t>
            </w:r>
          </w:p>
        </w:tc>
        <w:tc>
          <w:tcPr>
            <w:tcW w:type="dxa" w:w="1440"/>
          </w:tcPr>
          <w:p>
            <w:r>
              <w:rPr>
                <w:rFonts w:ascii="Calibri" w:hAnsi="Calibri"/>
                <w:sz w:val="22"/>
              </w:rPr>
              <w:t>−8.7%</w:t>
            </w:r>
          </w:p>
        </w:tc>
        <w:tc>
          <w:tcPr>
            <w:tcW w:type="dxa" w:w="1440"/>
          </w:tcPr>
          <w:p>
            <w:r>
              <w:rPr>
                <w:rFonts w:ascii="Calibri" w:hAnsi="Calibri"/>
                <w:b/>
                <w:color w:val="E5484D"/>
                <w:sz w:val="22"/>
              </w:rPr>
              <w:t>Miss</w:t>
            </w:r>
          </w:p>
        </w:tc>
      </w:tr>
      <w:tr>
        <w:tc>
          <w:tcPr>
            <w:tcW w:type="dxa" w:w="1440"/>
          </w:tcPr>
          <w:p>
            <w:r>
              <w:rPr>
                <w:rFonts w:ascii="Calibri" w:hAnsi="Calibri"/>
                <w:sz w:val="22"/>
              </w:rPr>
              <w:t>2Q 2025</w:t>
            </w:r>
          </w:p>
        </w:tc>
        <w:tc>
          <w:tcPr>
            <w:tcW w:type="dxa" w:w="1440"/>
          </w:tcPr>
          <w:p>
            <w:r>
              <w:rPr>
                <w:rFonts w:ascii="Calibri" w:hAnsi="Calibri"/>
                <w:sz w:val="22"/>
              </w:rPr>
              <w:t>Steel Volume (KT)</w:t>
            </w:r>
          </w:p>
        </w:tc>
        <w:tc>
          <w:tcPr>
            <w:tcW w:type="dxa" w:w="1440"/>
          </w:tcPr>
          <w:p>
            <w:r>
              <w:rPr>
                <w:rFonts w:ascii="Calibri" w:hAnsi="Calibri"/>
                <w:sz w:val="22"/>
              </w:rPr>
              <w:t>3,485 KT</w:t>
            </w:r>
          </w:p>
        </w:tc>
        <w:tc>
          <w:tcPr>
            <w:tcW w:type="dxa" w:w="1440"/>
          </w:tcPr>
          <w:p>
            <w:r>
              <w:rPr>
                <w:rFonts w:ascii="Calibri" w:hAnsi="Calibri"/>
                <w:sz w:val="22"/>
              </w:rPr>
              <w:t>3,595 KT</w:t>
            </w:r>
          </w:p>
        </w:tc>
        <w:tc>
          <w:tcPr>
            <w:tcW w:type="dxa" w:w="1440"/>
          </w:tcPr>
          <w:p>
            <w:r>
              <w:rPr>
                <w:rFonts w:ascii="Calibri" w:hAnsi="Calibri"/>
                <w:sz w:val="22"/>
              </w:rPr>
              <w:t>−3.1%</w:t>
            </w:r>
          </w:p>
        </w:tc>
        <w:tc>
          <w:tcPr>
            <w:tcW w:type="dxa" w:w="1440"/>
          </w:tcPr>
          <w:p>
            <w:r>
              <w:rPr>
                <w:rFonts w:ascii="Calibri" w:hAnsi="Calibri"/>
                <w:b/>
                <w:color w:val="E5484D"/>
                <w:sz w:val="22"/>
              </w:rPr>
              <w:t>Miss</w:t>
            </w:r>
          </w:p>
        </w:tc>
      </w:tr>
      <w:tr>
        <w:tc>
          <w:tcPr>
            <w:tcW w:type="dxa" w:w="1440"/>
          </w:tcPr>
          <w:p>
            <w:r>
              <w:rPr>
                <w:rFonts w:ascii="Calibri" w:hAnsi="Calibri"/>
                <w:sz w:val="22"/>
              </w:rPr>
              <w:t>1Q 2025</w:t>
            </w:r>
          </w:p>
        </w:tc>
        <w:tc>
          <w:tcPr>
            <w:tcW w:type="dxa" w:w="1440"/>
          </w:tcPr>
          <w:p>
            <w:r>
              <w:rPr>
                <w:rFonts w:ascii="Calibri" w:hAnsi="Calibri"/>
                <w:sz w:val="22"/>
              </w:rPr>
              <w:t>Operating EPS</w:t>
            </w:r>
          </w:p>
        </w:tc>
        <w:tc>
          <w:tcPr>
            <w:tcW w:type="dxa" w:w="1440"/>
          </w:tcPr>
          <w:p>
            <w:r>
              <w:rPr>
                <w:rFonts w:ascii="Calibri" w:hAnsi="Calibri"/>
                <w:sz w:val="22"/>
              </w:rPr>
              <w:t>$1.44</w:t>
            </w:r>
          </w:p>
        </w:tc>
        <w:tc>
          <w:tcPr>
            <w:tcW w:type="dxa" w:w="1440"/>
          </w:tcPr>
          <w:p>
            <w:r>
              <w:rPr>
                <w:rFonts w:ascii="Calibri" w:hAnsi="Calibri"/>
                <w:sz w:val="22"/>
              </w:rPr>
              <w:t>$1.38</w:t>
            </w:r>
          </w:p>
        </w:tc>
        <w:tc>
          <w:tcPr>
            <w:tcW w:type="dxa" w:w="1440"/>
          </w:tcPr>
          <w:p>
            <w:r>
              <w:rPr>
                <w:rFonts w:ascii="Calibri" w:hAnsi="Calibri"/>
                <w:sz w:val="22"/>
              </w:rPr>
              <w:t>+4.4%</w:t>
            </w:r>
          </w:p>
        </w:tc>
        <w:tc>
          <w:tcPr>
            <w:tcW w:type="dxa" w:w="1440"/>
          </w:tcPr>
          <w:p>
            <w:r>
              <w:rPr>
                <w:rFonts w:ascii="Calibri" w:hAnsi="Calibri"/>
                <w:b/>
                <w:color w:val="30A46C"/>
                <w:sz w:val="22"/>
              </w:rPr>
              <w:t>Beat</w:t>
            </w:r>
          </w:p>
        </w:tc>
      </w:tr>
      <w:tr>
        <w:tc>
          <w:tcPr>
            <w:tcW w:type="dxa" w:w="1440"/>
          </w:tcPr>
          <w:p>
            <w:r>
              <w:rPr>
                <w:rFonts w:ascii="Calibri" w:hAnsi="Calibri"/>
                <w:sz w:val="22"/>
              </w:rPr>
              <w:t>1Q 2025</w:t>
            </w:r>
          </w:p>
        </w:tc>
        <w:tc>
          <w:tcPr>
            <w:tcW w:type="dxa" w:w="1440"/>
          </w:tcPr>
          <w:p>
            <w:r>
              <w:rPr>
                <w:rFonts w:ascii="Calibri" w:hAnsi="Calibri"/>
                <w:sz w:val="22"/>
              </w:rPr>
              <w:t>Steel Volume (KT)</w:t>
            </w:r>
          </w:p>
        </w:tc>
        <w:tc>
          <w:tcPr>
            <w:tcW w:type="dxa" w:w="1440"/>
          </w:tcPr>
          <w:p>
            <w:r>
              <w:rPr>
                <w:rFonts w:ascii="Calibri" w:hAnsi="Calibri"/>
                <w:sz w:val="22"/>
              </w:rPr>
              <w:t>3,617 KT</w:t>
            </w:r>
          </w:p>
        </w:tc>
        <w:tc>
          <w:tcPr>
            <w:tcW w:type="dxa" w:w="1440"/>
          </w:tcPr>
          <w:p>
            <w:r>
              <w:rPr>
                <w:rFonts w:ascii="Calibri" w:hAnsi="Calibri"/>
                <w:sz w:val="22"/>
              </w:rPr>
              <w:t>3,423 KT</w:t>
            </w:r>
          </w:p>
        </w:tc>
        <w:tc>
          <w:tcPr>
            <w:tcW w:type="dxa" w:w="1440"/>
          </w:tcPr>
          <w:p>
            <w:r>
              <w:rPr>
                <w:rFonts w:ascii="Calibri" w:hAnsi="Calibri"/>
                <w:sz w:val="22"/>
              </w:rPr>
              <w:t>+5.7%</w:t>
            </w:r>
          </w:p>
        </w:tc>
        <w:tc>
          <w:tcPr>
            <w:tcW w:type="dxa" w:w="1440"/>
          </w:tcPr>
          <w:p>
            <w:r>
              <w:rPr>
                <w:rFonts w:ascii="Calibri" w:hAnsi="Calibri"/>
                <w:b/>
                <w:color w:val="30A46C"/>
                <w:sz w:val="22"/>
              </w:rPr>
              <w:t>Beat</w:t>
            </w:r>
          </w:p>
        </w:tc>
      </w:tr>
      <w:tr>
        <w:tc>
          <w:tcPr>
            <w:tcW w:type="dxa" w:w="1440"/>
          </w:tcPr>
          <w:p>
            <w:r>
              <w:rPr>
                <w:rFonts w:ascii="Calibri" w:hAnsi="Calibri"/>
                <w:sz w:val="22"/>
              </w:rPr>
              <w:t>4Q 2024</w:t>
            </w:r>
          </w:p>
        </w:tc>
        <w:tc>
          <w:tcPr>
            <w:tcW w:type="dxa" w:w="1440"/>
          </w:tcPr>
          <w:p>
            <w:r>
              <w:rPr>
                <w:rFonts w:ascii="Calibri" w:hAnsi="Calibri"/>
                <w:sz w:val="22"/>
              </w:rPr>
              <w:t>Operating EPS</w:t>
            </w:r>
          </w:p>
        </w:tc>
        <w:tc>
          <w:tcPr>
            <w:tcW w:type="dxa" w:w="1440"/>
          </w:tcPr>
          <w:p>
            <w:r>
              <w:rPr>
                <w:rFonts w:ascii="Calibri" w:hAnsi="Calibri"/>
                <w:sz w:val="22"/>
              </w:rPr>
              <w:t>$1.36</w:t>
            </w:r>
          </w:p>
        </w:tc>
        <w:tc>
          <w:tcPr>
            <w:tcW w:type="dxa" w:w="1440"/>
          </w:tcPr>
          <w:p>
            <w:r>
              <w:rPr>
                <w:rFonts w:ascii="Calibri" w:hAnsi="Calibri"/>
                <w:sz w:val="22"/>
              </w:rPr>
              <w:t>$1.32</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4Q 2024</w:t>
            </w:r>
          </w:p>
        </w:tc>
        <w:tc>
          <w:tcPr>
            <w:tcW w:type="dxa" w:w="1440"/>
          </w:tcPr>
          <w:p>
            <w:r>
              <w:rPr>
                <w:rFonts w:ascii="Calibri" w:hAnsi="Calibri"/>
                <w:sz w:val="22"/>
              </w:rPr>
              <w:t>Steel Volume (KT)</w:t>
            </w:r>
          </w:p>
        </w:tc>
        <w:tc>
          <w:tcPr>
            <w:tcW w:type="dxa" w:w="1440"/>
          </w:tcPr>
          <w:p>
            <w:r>
              <w:rPr>
                <w:rFonts w:ascii="Calibri" w:hAnsi="Calibri"/>
                <w:sz w:val="22"/>
              </w:rPr>
              <w:t>3,166 KT</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3Q 2024</w:t>
            </w:r>
          </w:p>
        </w:tc>
        <w:tc>
          <w:tcPr>
            <w:tcW w:type="dxa" w:w="1440"/>
          </w:tcPr>
          <w:p>
            <w:r>
              <w:rPr>
                <w:rFonts w:ascii="Calibri" w:hAnsi="Calibri"/>
                <w:sz w:val="22"/>
              </w:rPr>
              <w:t>Operating EPS</w:t>
            </w:r>
          </w:p>
        </w:tc>
        <w:tc>
          <w:tcPr>
            <w:tcW w:type="dxa" w:w="1440"/>
          </w:tcPr>
          <w:p>
            <w:r>
              <w:rPr>
                <w:rFonts w:ascii="Calibri" w:hAnsi="Calibri"/>
                <w:sz w:val="22"/>
              </w:rPr>
              <w:t>$2.05</w:t>
            </w:r>
          </w:p>
        </w:tc>
        <w:tc>
          <w:tcPr>
            <w:tcW w:type="dxa" w:w="1440"/>
          </w:tcPr>
          <w:p>
            <w:r>
              <w:rPr>
                <w:rFonts w:ascii="Calibri" w:hAnsi="Calibri"/>
                <w:sz w:val="22"/>
              </w:rPr>
              <w:t>$1.98</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3Q 2024</w:t>
            </w:r>
          </w:p>
        </w:tc>
        <w:tc>
          <w:tcPr>
            <w:tcW w:type="dxa" w:w="1440"/>
          </w:tcPr>
          <w:p>
            <w:r>
              <w:rPr>
                <w:rFonts w:ascii="Calibri" w:hAnsi="Calibri"/>
                <w:sz w:val="22"/>
              </w:rPr>
              <w:t>Steel Volume (KT)</w:t>
            </w:r>
          </w:p>
        </w:tc>
        <w:tc>
          <w:tcPr>
            <w:tcW w:type="dxa" w:w="1440"/>
          </w:tcPr>
          <w:p>
            <w:r>
              <w:rPr>
                <w:rFonts w:ascii="Calibri" w:hAnsi="Calibri"/>
                <w:sz w:val="22"/>
              </w:rPr>
              <w:t>3,340 KT</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STLD has beaten Operating EPS consensus in 6 of the last 8 quarters, with the two misses (2Q 2025, 4Q 2025) occurring during the steel pricing trough. Steel volume beats are the norm when demand is strong; the company’s superior utilization rate (89% in 1Q 2026 vs. ~77% industry) is a structural advantage. The current setup — management-guided quarter with a low consensus bar — historically favors a beat.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issued a formal 2Q EPS guidance range of $3.51–$3.55 on June 17 (via 8-K), which is the primary anchor for the quarter; tone across all segments is </w:t>
      </w:r>
      <w:r>
        <w:rPr>
          <w:rFonts w:ascii="Calibri" w:hAnsi="Calibri"/>
          <w:b/>
          <w:color w:val="525866"/>
          <w:sz w:val="22"/>
        </w:rPr>
        <w:t>constructive to bullish</w:t>
      </w:r>
      <w:r>
        <w:rPr>
          <w:rFonts w:ascii="Calibri" w:hAnsi="Calibri"/>
          <w:color w:val="525866"/>
          <w:sz w:val="22"/>
        </w:rPr>
        <w:t>, with steel operations guided "meaningfully higher" and aluminum guided to improve "significantly" — the only noise is a one-time $16M write-down from the Arizona satellite slab center relocation.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(1Q 2026 Earnings Call, April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2Q 2026 EPS (Diluted Operating)</w:t>
            </w:r>
          </w:p>
        </w:tc>
        <w:tc>
          <w:tcPr>
            <w:tcW w:type="dxa" w:w="1728"/>
          </w:tcPr>
          <w:p>
            <w:r>
              <w:rPr>
                <w:rFonts w:ascii="Calibri" w:hAnsi="Calibri"/>
                <w:sz w:val="22"/>
              </w:rPr>
              <w:t>No specific range given on call; guided steel ops "meaningfully higher" and aluminum "sharply higher" shipments/earnings</w:t>
            </w:r>
          </w:p>
        </w:tc>
        <w:tc>
          <w:tcPr>
            <w:tcW w:type="dxa" w:w="1728"/>
          </w:tcPr>
          <w:p>
            <w:r>
              <w:rPr>
                <w:rFonts w:ascii="Calibri" w:hAnsi="Calibri"/>
                <w:sz w:val="22"/>
              </w:rPr>
              <w:t>$3.51–$3.55 per diluted share</w:t>
            </w:r>
          </w:p>
        </w:tc>
        <w:tc>
          <w:tcPr>
            <w:tcW w:type="dxa" w:w="1728"/>
          </w:tcPr>
          <w:p>
            <w:r>
              <w:rPr>
                <w:rFonts w:ascii="Calibri" w:hAnsi="Calibri"/>
                <w:sz w:val="22"/>
              </w:rPr>
              <w:t>$3.64</w:t>
            </w:r>
          </w:p>
        </w:tc>
        <w:tc>
          <w:tcPr>
            <w:tcW w:type="dxa" w:w="1728"/>
          </w:tcPr>
          <w:p>
            <w:r>
              <w:rPr>
                <w:rFonts w:ascii="Calibri" w:hAnsi="Calibri"/>
                <w:sz w:val="22"/>
              </w:rPr>
              <w:t>↑ Formal range issued via 8-K June 17, 2026; includes $16M write-down headwind (~$0.09/share); underlying ops above midpoint</w:t>
            </w:r>
          </w:p>
        </w:tc>
      </w:tr>
      <w:tr>
        <w:tc>
          <w:tcPr>
            <w:tcW w:type="dxa" w:w="1728"/>
          </w:tcPr>
          <w:p>
            <w:r>
              <w:rPr>
                <w:rFonts w:ascii="Calibri" w:hAnsi="Calibri"/>
                <w:sz w:val="22"/>
              </w:rPr>
              <w:t>Steel Operations Profitability (2Q 2026)</w:t>
            </w:r>
          </w:p>
        </w:tc>
        <w:tc>
          <w:tcPr>
            <w:tcW w:type="dxa" w:w="1728"/>
          </w:tcPr>
          <w:p>
            <w:r>
              <w:rPr>
                <w:rFonts w:ascii="Calibri" w:hAnsi="Calibri"/>
                <w:sz w:val="22"/>
              </w:rPr>
              <w:t>"Meaningfully higher" than 1Q 2026 ($557M operating income); strong demand, metal margin expansion</w:t>
            </w:r>
          </w:p>
        </w:tc>
        <w:tc>
          <w:tcPr>
            <w:tcW w:type="dxa" w:w="1728"/>
          </w:tcPr>
          <w:p>
            <w:r>
              <w:rPr>
                <w:rFonts w:ascii="Calibri" w:hAnsi="Calibri"/>
                <w:sz w:val="22"/>
              </w:rPr>
              <w:t>Reaffirmed in June 17 guidance: "strong demand and metal margin expansion across the platform"</w:t>
            </w:r>
          </w:p>
        </w:tc>
        <w:tc>
          <w:tcPr>
            <w:tcW w:type="dxa" w:w="1728"/>
          </w:tcPr>
          <w:p>
            <w:r>
              <w:rPr>
                <w:rFonts w:ascii="Calibri" w:hAnsi="Calibri"/>
                <w:sz w:val="22"/>
              </w:rPr>
              <w:t>N/A (no segment consensus)</w:t>
            </w:r>
          </w:p>
        </w:tc>
        <w:tc>
          <w:tcPr>
            <w:tcW w:type="dxa" w:w="1728"/>
          </w:tcPr>
          <w:p>
            <w:r>
              <w:rPr>
                <w:rFonts w:ascii="Calibri" w:hAnsi="Calibri"/>
                <w:sz w:val="22"/>
              </w:rPr>
              <w:t>Tone unchanged and confident; order activity strong, low inventories, favorable pricing</w:t>
            </w:r>
          </w:p>
        </w:tc>
      </w:tr>
      <w:tr>
        <w:tc>
          <w:tcPr>
            <w:tcW w:type="dxa" w:w="1728"/>
          </w:tcPr>
          <w:p>
            <w:r>
              <w:rPr>
                <w:rFonts w:ascii="Calibri" w:hAnsi="Calibri"/>
                <w:sz w:val="22"/>
              </w:rPr>
              <w:t>Aluminum Shipments (2Q 2026)</w:t>
            </w:r>
          </w:p>
        </w:tc>
        <w:tc>
          <w:tcPr>
            <w:tcW w:type="dxa" w:w="1728"/>
          </w:tcPr>
          <w:p>
            <w:r>
              <w:rPr>
                <w:rFonts w:ascii="Calibri" w:hAnsi="Calibri"/>
                <w:sz w:val="22"/>
              </w:rPr>
              <w:t>60–70 KT (vs. 22.5 KT in 1Q); "sharply higher" earnings</w:t>
            </w:r>
          </w:p>
        </w:tc>
        <w:tc>
          <w:tcPr>
            <w:tcW w:type="dxa" w:w="1728"/>
          </w:tcPr>
          <w:p>
            <w:r>
              <w:rPr>
                <w:rFonts w:ascii="Calibri" w:hAnsi="Calibri"/>
                <w:sz w:val="22"/>
              </w:rPr>
              <w:t>Reaffirmed in June 17 guidance: "improve significantly"; 2 of 3 cold mills operational, 3rd qualifying in July</w:t>
            </w:r>
          </w:p>
        </w:tc>
        <w:tc>
          <w:tcPr>
            <w:tcW w:type="dxa" w:w="1728"/>
          </w:tcPr>
          <w:p>
            <w:r>
              <w:rPr>
                <w:rFonts w:ascii="Calibri" w:hAnsi="Calibri"/>
                <w:sz w:val="22"/>
              </w:rPr>
              <w:t>~67 KT (consensus)</w:t>
            </w:r>
          </w:p>
        </w:tc>
        <w:tc>
          <w:tcPr>
            <w:tcW w:type="dxa" w:w="1728"/>
          </w:tcPr>
          <w:p>
            <w:r>
              <w:rPr>
                <w:rFonts w:ascii="Calibri" w:hAnsi="Calibri"/>
                <w:sz w:val="22"/>
              </w:rPr>
              <w:t>Tone confident; CASH line 1 operational and shipping for customer qualification; CASH line 2 expected 4Q 2026</w:t>
            </w:r>
          </w:p>
        </w:tc>
      </w:tr>
      <w:tr>
        <w:tc>
          <w:tcPr>
            <w:tcW w:type="dxa" w:w="1728"/>
          </w:tcPr>
          <w:p>
            <w:r>
              <w:rPr>
                <w:rFonts w:ascii="Calibri" w:hAnsi="Calibri"/>
                <w:sz w:val="22"/>
              </w:rPr>
              <w:t>Metals Recycling (2Q 2026)</w:t>
            </w:r>
          </w:p>
        </w:tc>
        <w:tc>
          <w:tcPr>
            <w:tcW w:type="dxa" w:w="1728"/>
          </w:tcPr>
          <w:p>
            <w:r>
              <w:rPr>
                <w:rFonts w:ascii="Calibri" w:hAnsi="Calibri"/>
                <w:sz w:val="22"/>
              </w:rPr>
              <w:t>"Seasonally increased shipments" in 2Q and 3Q; scrap flows strong</w:t>
            </w:r>
          </w:p>
        </w:tc>
        <w:tc>
          <w:tcPr>
            <w:tcW w:type="dxa" w:w="1728"/>
          </w:tcPr>
          <w:p>
            <w:r>
              <w:rPr>
                <w:rFonts w:ascii="Calibri" w:hAnsi="Calibri"/>
                <w:sz w:val="22"/>
              </w:rPr>
              <w:t>June 17: "similar to sequential 1Q results" as higher shipments offset by nonferrous unrealized hedging losses</w:t>
            </w:r>
          </w:p>
        </w:tc>
        <w:tc>
          <w:tcPr>
            <w:tcW w:type="dxa" w:w="1728"/>
          </w:tcPr>
          <w:p>
            <w:r>
              <w:rPr>
                <w:rFonts w:ascii="Calibri" w:hAnsi="Calibri"/>
                <w:sz w:val="22"/>
              </w:rPr>
              <w:t>N/A</w:t>
            </w:r>
          </w:p>
        </w:tc>
        <w:tc>
          <w:tcPr>
            <w:tcW w:type="dxa" w:w="1728"/>
          </w:tcPr>
          <w:p>
            <w:r>
              <w:rPr>
                <w:rFonts w:ascii="Calibri" w:hAnsi="Calibri"/>
                <w:sz w:val="22"/>
              </w:rPr>
              <w:t>↓ Slight tone moderation vs. April call; hedging losses a modest offset</w:t>
            </w:r>
          </w:p>
        </w:tc>
      </w:tr>
      <w:tr>
        <w:tc>
          <w:tcPr>
            <w:tcW w:type="dxa" w:w="1728"/>
          </w:tcPr>
          <w:p>
            <w:r>
              <w:rPr>
                <w:rFonts w:ascii="Calibri" w:hAnsi="Calibri"/>
                <w:sz w:val="22"/>
              </w:rPr>
              <w:t>Steel Fabrication (2Q 2026)</w:t>
            </w:r>
          </w:p>
        </w:tc>
        <w:tc>
          <w:tcPr>
            <w:tcW w:type="dxa" w:w="1728"/>
          </w:tcPr>
          <w:p>
            <w:r>
              <w:rPr>
                <w:rFonts w:ascii="Calibri" w:hAnsi="Calibri"/>
                <w:sz w:val="22"/>
              </w:rPr>
              <w:t>Strong order activity; backlog ~40% above year-ago; continued volume improvement</w:t>
            </w:r>
          </w:p>
        </w:tc>
        <w:tc>
          <w:tcPr>
            <w:tcW w:type="dxa" w:w="1728"/>
          </w:tcPr>
          <w:p>
            <w:r>
              <w:rPr>
                <w:rFonts w:ascii="Calibri" w:hAnsi="Calibri"/>
                <w:sz w:val="22"/>
              </w:rPr>
              <w:t>June 17: "incrementally below" 1Q results; stronger shipments + steady pricing offset by higher steel input costs</w:t>
            </w:r>
          </w:p>
        </w:tc>
        <w:tc>
          <w:tcPr>
            <w:tcW w:type="dxa" w:w="1728"/>
          </w:tcPr>
          <w:p>
            <w:r>
              <w:rPr>
                <w:rFonts w:ascii="Calibri" w:hAnsi="Calibri"/>
                <w:sz w:val="22"/>
              </w:rPr>
              <w:t>N/A</w:t>
            </w:r>
          </w:p>
        </w:tc>
        <w:tc>
          <w:tcPr>
            <w:tcW w:type="dxa" w:w="1728"/>
          </w:tcPr>
          <w:p>
            <w:r>
              <w:rPr>
                <w:rFonts w:ascii="Calibri" w:hAnsi="Calibri"/>
                <w:sz w:val="22"/>
              </w:rPr>
              <w:t>↓ Slight moderation; higher steel raw material costs a headwind; backlog extends through end of 2026 and into 2027</w:t>
            </w:r>
          </w:p>
        </w:tc>
      </w:tr>
      <w:tr>
        <w:tc>
          <w:tcPr>
            <w:tcW w:type="dxa" w:w="1728"/>
          </w:tcPr>
          <w:p>
            <w:r>
              <w:rPr>
                <w:rFonts w:ascii="Calibri" w:hAnsi="Calibri"/>
                <w:sz w:val="22"/>
              </w:rPr>
              <w:t>Full-Year 2026 CapEx</w:t>
            </w:r>
          </w:p>
        </w:tc>
        <w:tc>
          <w:tcPr>
            <w:tcW w:type="dxa" w:w="1728"/>
          </w:tcPr>
          <w:p>
            <w:r>
              <w:rPr>
                <w:rFonts w:ascii="Calibri" w:hAnsi="Calibri"/>
                <w:sz w:val="22"/>
              </w:rPr>
              <w:t>~$600M total investments for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CapEx declining as major growth projects complete</w:t>
            </w:r>
          </w:p>
        </w:tc>
      </w:tr>
      <w:tr>
        <w:tc>
          <w:tcPr>
            <w:tcW w:type="dxa" w:w="1728"/>
          </w:tcPr>
          <w:p>
            <w:r>
              <w:rPr>
                <w:rFonts w:ascii="Calibri" w:hAnsi="Calibri"/>
                <w:sz w:val="22"/>
              </w:rPr>
              <w:t>Share Repurchases (2Q 2026 to date)</w:t>
            </w:r>
          </w:p>
        </w:tc>
        <w:tc>
          <w:tcPr>
            <w:tcW w:type="dxa" w:w="1728"/>
          </w:tcPr>
          <w:p>
            <w:r>
              <w:rPr>
                <w:rFonts w:ascii="Calibri" w:hAnsi="Calibri"/>
                <w:sz w:val="22"/>
              </w:rPr>
              <w:t>$687M remaining authorization at end of 1Q 2026</w:t>
            </w:r>
          </w:p>
        </w:tc>
        <w:tc>
          <w:tcPr>
            <w:tcW w:type="dxa" w:w="1728"/>
          </w:tcPr>
          <w:p>
            <w:r>
              <w:rPr>
                <w:rFonts w:ascii="Calibri" w:hAnsi="Calibri"/>
                <w:sz w:val="22"/>
              </w:rPr>
              <w:t>$170M repurchased so far in 2Q 2026 (~0.5% of shares)</w:t>
            </w:r>
          </w:p>
        </w:tc>
        <w:tc>
          <w:tcPr>
            <w:tcW w:type="dxa" w:w="1728"/>
          </w:tcPr>
          <w:p>
            <w:r>
              <w:rPr>
                <w:rFonts w:ascii="Calibri" w:hAnsi="Calibri"/>
                <w:sz w:val="22"/>
              </w:rPr>
              <w:t>N/A</w:t>
            </w:r>
          </w:p>
        </w:tc>
        <w:tc>
          <w:tcPr>
            <w:tcW w:type="dxa" w:w="1728"/>
          </w:tcPr>
          <w:p>
            <w:r>
              <w:rPr>
                <w:rFonts w:ascii="Calibri" w:hAnsi="Calibri"/>
                <w:sz w:val="22"/>
              </w:rPr>
              <w:t>Disclosed in June 17 guidance; buyback pace active despite working capital build</w:t>
            </w:r>
          </w:p>
        </w:tc>
      </w:tr>
    </w:tbl>
    <w:p>
      <w:r>
        <w:rPr>
          <w:rFonts w:ascii="Calibri" w:hAnsi="Calibri"/>
          <w:i/>
          <w:color w:val="525866"/>
          <w:sz w:val="22"/>
        </w:rPr>
        <w:t>Sources: Steel Dynamics 1Q 2026 Earnings Call Transcript (April 21, 2026); Steel Dynamics 2Q 2026 Earnings Guidance 8-K/EX-99.1 (June 17–18,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2Q 2026 EPS estimates have been </w:t>
      </w:r>
      <w:r>
        <w:rPr>
          <w:rFonts w:ascii="Calibri" w:hAnsi="Calibri"/>
          <w:b/>
          <w:color w:val="525866"/>
          <w:sz w:val="22"/>
        </w:rPr>
        <w:t>cut ~10% since the post-Q1 baseline</w:t>
      </w:r>
      <w:r>
        <w:rPr>
          <w:rFonts w:ascii="Calibri" w:hAnsi="Calibri"/>
          <w:color w:val="525866"/>
          <w:sz w:val="22"/>
        </w:rPr>
        <w:t xml:space="preserve"> (from $4.06 to $3.64), almost entirely driven by the June 17 guidance reset and the $16M write-down — not deteriorating fundamentals. Full-year 2026 estimates have actually </w:t>
      </w:r>
      <w:r>
        <w:rPr>
          <w:rFonts w:ascii="Calibri" w:hAnsi="Calibri"/>
          <w:b/>
          <w:color w:val="525866"/>
          <w:sz w:val="22"/>
        </w:rPr>
        <w:t>risen ~9%</w:t>
      </w:r>
      <w:r>
        <w:rPr>
          <w:rFonts w:ascii="Calibri" w:hAnsi="Calibri"/>
          <w:color w:val="525866"/>
          <w:sz w:val="22"/>
        </w:rPr>
        <w:t xml:space="preserve"> over the same period ($15.05 → $16.48), reflecting the stronger steel and aluminum trajectory for the back half. The gap between 2Q consensus ($3.64) and guidance midpoint ($3.53) represents a modest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Post-Q1 Print (Apr 28, 2026)</w:t>
            </w:r>
          </w:p>
        </w:tc>
        <w:tc>
          <w:tcPr>
            <w:tcW w:type="dxa" w:w="1080"/>
            <w:shd w:val="clear" w:color="auto" w:fill="3B4259"/>
          </w:tcPr>
          <w:p>
            <w:r>
              <w:rPr>
                <w:rFonts w:ascii="Calibri" w:hAnsi="Calibri"/>
                <w:b/>
                <w:color w:val="FFFFFF"/>
                <w:sz w:val="22"/>
              </w:rPr>
              <w:t>Current Consensus (Jul 19,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21 Call)</w:t>
            </w:r>
          </w:p>
        </w:tc>
        <w:tc>
          <w:tcPr>
            <w:tcW w:type="dxa" w:w="1080"/>
            <w:shd w:val="clear" w:color="auto" w:fill="3B4259"/>
          </w:tcPr>
          <w:p>
            <w:r>
              <w:rPr>
                <w:rFonts w:ascii="Calibri" w:hAnsi="Calibri"/>
                <w:b/>
                <w:color w:val="FFFFFF"/>
                <w:sz w:val="22"/>
              </w:rPr>
              <w:t>Current Guidance (Jun 17 8-K)</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w:t>
            </w:r>
          </w:p>
        </w:tc>
      </w:tr>
      <w:tr>
        <w:tc>
          <w:tcPr>
            <w:tcW w:type="dxa" w:w="1080"/>
          </w:tcPr>
          <w:p>
            <w:r>
              <w:rPr>
                <w:rFonts w:ascii="Calibri" w:hAnsi="Calibri"/>
                <w:sz w:val="22"/>
              </w:rPr>
              <w:t>Operating EPS (2Q 2026)</w:t>
            </w:r>
          </w:p>
        </w:tc>
        <w:tc>
          <w:tcPr>
            <w:tcW w:type="dxa" w:w="1080"/>
          </w:tcPr>
          <w:p>
            <w:r>
              <w:rPr>
                <w:rFonts w:ascii="Calibri" w:hAnsi="Calibri"/>
                <w:sz w:val="22"/>
              </w:rPr>
              <w:t>$4.06</w:t>
            </w:r>
          </w:p>
        </w:tc>
        <w:tc>
          <w:tcPr>
            <w:tcW w:type="dxa" w:w="1080"/>
          </w:tcPr>
          <w:p>
            <w:r>
              <w:rPr>
                <w:rFonts w:ascii="Calibri" w:hAnsi="Calibri"/>
                <w:sz w:val="22"/>
              </w:rPr>
              <w:t>$3.64</w:t>
            </w:r>
          </w:p>
        </w:tc>
        <w:tc>
          <w:tcPr>
            <w:tcW w:type="dxa" w:w="1080"/>
          </w:tcPr>
          <w:p>
            <w:r>
              <w:rPr>
                <w:rFonts w:ascii="Calibri" w:hAnsi="Calibri"/>
                <w:b/>
                <w:color w:val="E5484D"/>
                <w:sz w:val="22"/>
              </w:rPr>
              <w:t>−10.3%</w:t>
            </w:r>
          </w:p>
        </w:tc>
        <w:tc>
          <w:tcPr>
            <w:tcW w:type="dxa" w:w="1080"/>
          </w:tcPr>
          <w:p>
            <w:r>
              <w:rPr>
                <w:rFonts w:ascii="Calibri" w:hAnsi="Calibri"/>
                <w:sz w:val="22"/>
              </w:rPr>
              <w:t>No specific range; "meaningfully higher" steel ops</w:t>
            </w:r>
          </w:p>
        </w:tc>
        <w:tc>
          <w:tcPr>
            <w:tcW w:type="dxa" w:w="1080"/>
          </w:tcPr>
          <w:p>
            <w:r>
              <w:rPr>
                <w:rFonts w:ascii="Calibri" w:hAnsi="Calibri"/>
                <w:sz w:val="22"/>
              </w:rPr>
              <w:t>$3.51–$3.55 (midpoint $3.53)</w:t>
            </w:r>
          </w:p>
        </w:tc>
        <w:tc>
          <w:tcPr>
            <w:tcW w:type="dxa" w:w="1080"/>
          </w:tcPr>
          <w:p>
            <w:r>
              <w:rPr>
                <w:rFonts w:ascii="Calibri" w:hAnsi="Calibri"/>
                <w:sz w:val="22"/>
              </w:rPr>
              <w:t>Formal range issued Jun 17</w:t>
            </w:r>
          </w:p>
        </w:tc>
        <w:tc>
          <w:tcPr>
            <w:tcW w:type="dxa" w:w="1080"/>
          </w:tcPr>
          <w:p>
            <w:r>
              <w:rPr>
                <w:rFonts w:ascii="Calibri" w:hAnsi="Calibri"/>
                <w:sz w:val="22"/>
              </w:rPr>
              <w:t>+3.1% above midpoint</w:t>
            </w:r>
          </w:p>
        </w:tc>
      </w:tr>
      <w:tr>
        <w:tc>
          <w:tcPr>
            <w:tcW w:type="dxa" w:w="1080"/>
          </w:tcPr>
          <w:p>
            <w:r>
              <w:rPr>
                <w:rFonts w:ascii="Calibri" w:hAnsi="Calibri"/>
                <w:sz w:val="22"/>
              </w:rPr>
              <w:t>Operating EPS (FY 2026)</w:t>
            </w:r>
          </w:p>
        </w:tc>
        <w:tc>
          <w:tcPr>
            <w:tcW w:type="dxa" w:w="1080"/>
          </w:tcPr>
          <w:p>
            <w:r>
              <w:rPr>
                <w:rFonts w:ascii="Calibri" w:hAnsi="Calibri"/>
                <w:sz w:val="22"/>
              </w:rPr>
              <w:t>$15.05</w:t>
            </w:r>
          </w:p>
        </w:tc>
        <w:tc>
          <w:tcPr>
            <w:tcW w:type="dxa" w:w="1080"/>
          </w:tcPr>
          <w:p>
            <w:r>
              <w:rPr>
                <w:rFonts w:ascii="Calibri" w:hAnsi="Calibri"/>
                <w:sz w:val="22"/>
              </w:rPr>
              <w:t>$16.48</w:t>
            </w:r>
          </w:p>
        </w:tc>
        <w:tc>
          <w:tcPr>
            <w:tcW w:type="dxa" w:w="1080"/>
          </w:tcPr>
          <w:p>
            <w:r>
              <w:rPr>
                <w:rFonts w:ascii="Calibri" w:hAnsi="Calibri"/>
                <w:b/>
                <w:color w:val="30A46C"/>
                <w:sz w:val="22"/>
              </w:rPr>
              <w:t>+9.5%</w:t>
            </w:r>
          </w:p>
        </w:tc>
        <w:tc>
          <w:tcPr>
            <w:tcW w:type="dxa" w:w="1080"/>
          </w:tcPr>
          <w:p>
            <w:r>
              <w:rPr>
                <w:rFonts w:ascii="Calibri" w:hAnsi="Calibri"/>
                <w:sz w:val="22"/>
              </w:rPr>
              <w:t>No FY guidance</w:t>
            </w:r>
          </w:p>
        </w:tc>
        <w:tc>
          <w:tcPr>
            <w:tcW w:type="dxa" w:w="1080"/>
          </w:tcPr>
          <w:p>
            <w:r>
              <w:rPr>
                <w:rFonts w:ascii="Calibri" w:hAnsi="Calibri"/>
                <w:sz w:val="22"/>
              </w:rPr>
              <w:t>No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(2Q 2026)</w:t>
            </w:r>
          </w:p>
        </w:tc>
        <w:tc>
          <w:tcPr>
            <w:tcW w:type="dxa" w:w="1080"/>
          </w:tcPr>
          <w:p>
            <w:r>
              <w:rPr>
                <w:rFonts w:ascii="Calibri" w:hAnsi="Calibri"/>
                <w:sz w:val="22"/>
              </w:rPr>
              <w:t>$5.63B</w:t>
            </w:r>
          </w:p>
        </w:tc>
        <w:tc>
          <w:tcPr>
            <w:tcW w:type="dxa" w:w="1080"/>
          </w:tcPr>
          <w:p>
            <w:r>
              <w:rPr>
                <w:rFonts w:ascii="Calibri" w:hAnsi="Calibri"/>
                <w:sz w:val="22"/>
              </w:rPr>
              <w:t>$5.65B</w:t>
            </w:r>
          </w:p>
        </w:tc>
        <w:tc>
          <w:tcPr>
            <w:tcW w:type="dxa" w:w="1080"/>
          </w:tcPr>
          <w:p>
            <w:r>
              <w:rPr>
                <w:rFonts w:ascii="Calibri" w:hAnsi="Calibri"/>
                <w:sz w:val="22"/>
              </w:rPr>
              <w:t>+0.4%</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(FY 2026)</w:t>
            </w:r>
          </w:p>
        </w:tc>
        <w:tc>
          <w:tcPr>
            <w:tcW w:type="dxa" w:w="1080"/>
          </w:tcPr>
          <w:p>
            <w:r>
              <w:rPr>
                <w:rFonts w:ascii="Calibri" w:hAnsi="Calibri"/>
                <w:sz w:val="22"/>
              </w:rPr>
              <w:t>$22.26B</w:t>
            </w:r>
          </w:p>
        </w:tc>
        <w:tc>
          <w:tcPr>
            <w:tcW w:type="dxa" w:w="1080"/>
          </w:tcPr>
          <w:p>
            <w:r>
              <w:rPr>
                <w:rFonts w:ascii="Calibri" w:hAnsi="Calibri"/>
                <w:sz w:val="22"/>
              </w:rPr>
              <w:t>$23.01B</w:t>
            </w:r>
          </w:p>
        </w:tc>
        <w:tc>
          <w:tcPr>
            <w:tcW w:type="dxa" w:w="1080"/>
          </w:tcPr>
          <w:p>
            <w:r>
              <w:rPr>
                <w:rFonts w:ascii="Calibri" w:hAnsi="Calibri"/>
                <w:b/>
                <w:color w:val="30A46C"/>
                <w:sz w:val="22"/>
              </w:rPr>
              <w:t>+3.4%</w:t>
            </w:r>
          </w:p>
        </w:tc>
        <w:tc>
          <w:tcPr>
            <w:tcW w:type="dxa" w:w="1080"/>
          </w:tcPr>
          <w:p>
            <w:r>
              <w:rPr>
                <w:rFonts w:ascii="Calibri" w:hAnsi="Calibri"/>
                <w:sz w:val="22"/>
              </w:rPr>
              <w:t>No FY guidance</w:t>
            </w:r>
          </w:p>
        </w:tc>
        <w:tc>
          <w:tcPr>
            <w:tcW w:type="dxa" w:w="1080"/>
          </w:tcPr>
          <w:p>
            <w:r>
              <w:rPr>
                <w:rFonts w:ascii="Calibri" w:hAnsi="Calibri"/>
                <w:sz w:val="22"/>
              </w:rPr>
              <w:t>No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(2Q 2026)</w:t>
            </w:r>
          </w:p>
        </w:tc>
        <w:tc>
          <w:tcPr>
            <w:tcW w:type="dxa" w:w="1080"/>
          </w:tcPr>
          <w:p>
            <w:r>
              <w:rPr>
                <w:rFonts w:ascii="Calibri" w:hAnsi="Calibri"/>
                <w:sz w:val="22"/>
              </w:rPr>
              <w:t>$941M</w:t>
            </w:r>
          </w:p>
        </w:tc>
        <w:tc>
          <w:tcPr>
            <w:tcW w:type="dxa" w:w="1080"/>
          </w:tcPr>
          <w:p>
            <w:r>
              <w:rPr>
                <w:rFonts w:ascii="Calibri" w:hAnsi="Calibri"/>
                <w:sz w:val="22"/>
              </w:rPr>
              <w:t>$875M</w:t>
            </w:r>
          </w:p>
        </w:tc>
        <w:tc>
          <w:tcPr>
            <w:tcW w:type="dxa" w:w="1080"/>
          </w:tcPr>
          <w:p>
            <w:r>
              <w:rPr>
                <w:rFonts w:ascii="Calibri" w:hAnsi="Calibri"/>
                <w:b/>
                <w:color w:val="E5484D"/>
                <w:sz w:val="22"/>
              </w:rPr>
              <w:t>−7.0%</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(FY 2026)</w:t>
            </w:r>
          </w:p>
        </w:tc>
        <w:tc>
          <w:tcPr>
            <w:tcW w:type="dxa" w:w="1080"/>
          </w:tcPr>
          <w:p>
            <w:r>
              <w:rPr>
                <w:rFonts w:ascii="Calibri" w:hAnsi="Calibri"/>
                <w:sz w:val="22"/>
              </w:rPr>
              <w:t>$3.52B</w:t>
            </w:r>
          </w:p>
        </w:tc>
        <w:tc>
          <w:tcPr>
            <w:tcW w:type="dxa" w:w="1080"/>
          </w:tcPr>
          <w:p>
            <w:r>
              <w:rPr>
                <w:rFonts w:ascii="Calibri" w:hAnsi="Calibri"/>
                <w:sz w:val="22"/>
              </w:rPr>
              <w:t>$3.83B</w:t>
            </w:r>
          </w:p>
        </w:tc>
        <w:tc>
          <w:tcPr>
            <w:tcW w:type="dxa" w:w="1080"/>
          </w:tcPr>
          <w:p>
            <w:r>
              <w:rPr>
                <w:rFonts w:ascii="Calibri" w:hAnsi="Calibri"/>
                <w:b/>
                <w:color w:val="30A46C"/>
                <w:sz w:val="22"/>
              </w:rPr>
              <w:t>+8.8%</w:t>
            </w:r>
          </w:p>
        </w:tc>
        <w:tc>
          <w:tcPr>
            <w:tcW w:type="dxa" w:w="1080"/>
          </w:tcPr>
          <w:p>
            <w:r>
              <w:rPr>
                <w:rFonts w:ascii="Calibri" w:hAnsi="Calibri"/>
                <w:sz w:val="22"/>
              </w:rPr>
              <w:t>No FY guidance</w:t>
            </w:r>
          </w:p>
        </w:tc>
        <w:tc>
          <w:tcPr>
            <w:tcW w:type="dxa" w:w="1080"/>
          </w:tcPr>
          <w:p>
            <w:r>
              <w:rPr>
                <w:rFonts w:ascii="Calibri" w:hAnsi="Calibri"/>
                <w:sz w:val="22"/>
              </w:rPr>
              <w:t>No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Aluminum EBITDA (2Q 2026)</w:t>
            </w:r>
          </w:p>
        </w:tc>
        <w:tc>
          <w:tcPr>
            <w:tcW w:type="dxa" w:w="1080"/>
          </w:tcPr>
          <w:p>
            <w:r>
              <w:rPr>
                <w:rFonts w:ascii="Calibri" w:hAnsi="Calibri"/>
                <w:sz w:val="22"/>
              </w:rPr>
              <w:t>$26.0M</w:t>
            </w:r>
          </w:p>
        </w:tc>
        <w:tc>
          <w:tcPr>
            <w:tcW w:type="dxa" w:w="1080"/>
          </w:tcPr>
          <w:p>
            <w:r>
              <w:rPr>
                <w:rFonts w:ascii="Calibri" w:hAnsi="Calibri"/>
                <w:sz w:val="22"/>
              </w:rPr>
              <w:t>$7.0M</w:t>
            </w:r>
          </w:p>
        </w:tc>
        <w:tc>
          <w:tcPr>
            <w:tcW w:type="dxa" w:w="1080"/>
          </w:tcPr>
          <w:p>
            <w:r>
              <w:rPr>
                <w:rFonts w:ascii="Calibri" w:hAnsi="Calibri"/>
                <w:b/>
                <w:color w:val="E5484D"/>
                <w:sz w:val="22"/>
              </w:rPr>
              <w:t>−73.1%</w:t>
            </w:r>
          </w:p>
        </w:tc>
        <w:tc>
          <w:tcPr>
            <w:tcW w:type="dxa" w:w="1080"/>
          </w:tcPr>
          <w:p>
            <w:r>
              <w:rPr>
                <w:rFonts w:ascii="Calibri" w:hAnsi="Calibri"/>
                <w:sz w:val="22"/>
              </w:rPr>
              <w:t>"Sharply higher" shipments and earnings vs. 1Q</w:t>
            </w:r>
          </w:p>
        </w:tc>
        <w:tc>
          <w:tcPr>
            <w:tcW w:type="dxa" w:w="1080"/>
          </w:tcPr>
          <w:p>
            <w:r>
              <w:rPr>
                <w:rFonts w:ascii="Calibri" w:hAnsi="Calibri"/>
                <w:sz w:val="22"/>
              </w:rPr>
              <w:t>"Improve significantly" vs. 1Q; 60–70 KT shipments</w:t>
            </w:r>
          </w:p>
        </w:tc>
        <w:tc>
          <w:tcPr>
            <w:tcW w:type="dxa" w:w="1080"/>
          </w:tcPr>
          <w:p>
            <w:r>
              <w:rPr>
                <w:rFonts w:ascii="Calibri" w:hAnsi="Calibri"/>
                <w:sz w:val="22"/>
              </w:rPr>
              <w:t>Consistent tone</w:t>
            </w:r>
          </w:p>
        </w:tc>
        <w:tc>
          <w:tcPr>
            <w:tcW w:type="dxa" w:w="1080"/>
          </w:tcPr>
          <w:p>
            <w:r>
              <w:rPr>
                <w:rFonts w:ascii="Calibri" w:hAnsi="Calibri"/>
                <w:sz w:val="22"/>
              </w:rPr>
              <w:t>Consensus well below guidance tone; upside risk</w:t>
            </w:r>
          </w:p>
        </w:tc>
      </w:tr>
      <w:tr>
        <w:tc>
          <w:tcPr>
            <w:tcW w:type="dxa" w:w="1080"/>
          </w:tcPr>
          <w:p>
            <w:r>
              <w:rPr>
                <w:rFonts w:ascii="Calibri" w:hAnsi="Calibri"/>
                <w:sz w:val="22"/>
              </w:rPr>
              <w:t>Aluminum EBITDA (FY 2026)</w:t>
            </w:r>
          </w:p>
        </w:tc>
        <w:tc>
          <w:tcPr>
            <w:tcW w:type="dxa" w:w="1080"/>
          </w:tcPr>
          <w:p>
            <w:r>
              <w:rPr>
                <w:rFonts w:ascii="Calibri" w:hAnsi="Calibri"/>
                <w:sz w:val="22"/>
              </w:rPr>
              <w:t>$182M</w:t>
            </w:r>
          </w:p>
        </w:tc>
        <w:tc>
          <w:tcPr>
            <w:tcW w:type="dxa" w:w="1080"/>
          </w:tcPr>
          <w:p>
            <w:r>
              <w:rPr>
                <w:rFonts w:ascii="Calibri" w:hAnsi="Calibri"/>
                <w:sz w:val="22"/>
              </w:rPr>
              <w:t>$137M</w:t>
            </w:r>
          </w:p>
        </w:tc>
        <w:tc>
          <w:tcPr>
            <w:tcW w:type="dxa" w:w="1080"/>
          </w:tcPr>
          <w:p>
            <w:r>
              <w:rPr>
                <w:rFonts w:ascii="Calibri" w:hAnsi="Calibri"/>
                <w:b/>
                <w:color w:val="E5484D"/>
                <w:sz w:val="22"/>
              </w:rPr>
              <w:t>−24.7%</w:t>
            </w:r>
          </w:p>
        </w:tc>
        <w:tc>
          <w:tcPr>
            <w:tcW w:type="dxa" w:w="1080"/>
          </w:tcPr>
          <w:p>
            <w:r>
              <w:rPr>
                <w:rFonts w:ascii="Calibri" w:hAnsi="Calibri"/>
                <w:sz w:val="22"/>
              </w:rPr>
              <w:t>Through-cycle target $650–$700M (normalized)</w:t>
            </w:r>
          </w:p>
        </w:tc>
        <w:tc>
          <w:tcPr>
            <w:tcW w:type="dxa" w:w="1080"/>
          </w:tcPr>
          <w:p>
            <w:r>
              <w:rPr>
                <w:rFonts w:ascii="Calibri" w:hAnsi="Calibri"/>
                <w:sz w:val="22"/>
              </w:rPr>
              <w:t>Through-cycle target unchanged; potential upward revision signaled</w:t>
            </w:r>
          </w:p>
        </w:tc>
        <w:tc>
          <w:tcPr>
            <w:tcW w:type="dxa" w:w="1080"/>
          </w:tcPr>
          <w:p>
            <w:r>
              <w:rPr>
                <w:rFonts w:ascii="Calibri" w:hAnsi="Calibri"/>
                <w:sz w:val="22"/>
              </w:rPr>
              <w:t>Unchanged</w:t>
            </w:r>
          </w:p>
        </w:tc>
        <w:tc>
          <w:tcPr>
            <w:tcW w:type="dxa" w:w="1080"/>
          </w:tcPr>
          <w:p>
            <w:r>
              <w:rPr>
                <w:rFonts w:ascii="Calibri" w:hAnsi="Calibri"/>
                <w:sz w:val="22"/>
              </w:rPr>
              <w:t>Consensus well below through-cycle; ramp execution is key</w:t>
            </w:r>
          </w:p>
        </w:tc>
      </w:tr>
    </w:tbl>
    <w:p>
      <w:r>
        <w:rPr>
          <w:rFonts w:ascii="Calibri" w:hAnsi="Calibri"/>
          <w:color w:val="525866"/>
          <w:sz w:val="22"/>
        </w:rPr>
        <w:t>The divergence between 2Q EPS cuts (−10%) and FY EPS upgrades (+9.5%) tells the story clearly: the market is treating the 2Q guidance reset as a one-time event and is increasingly crediting the back-half aluminum ramp and steel pricing tailwinds. The aluminum EBITDA consensus for 2Q ($7M) is strikingly low relative to management’s "significantly higher" language and the 3x shipment ramp — this is the most likely source of a positive surprise on the call.</w:t>
      </w:r>
    </w:p>
    <w:p>
      <w:r>
        <w:rPr>
          <w:rFonts w:ascii="Calibri" w:hAnsi="Calibri"/>
          <w:i/>
          <w:color w:val="525866"/>
          <w:sz w:val="22"/>
        </w:rPr>
        <w:t>Source: Visible Alpha Consensus and Actuals Data; Steel Dynamics 1Q 2026 Earnings Call (April 21, 2026); Steel Dynamics 2Q 2026 Guidance 8-K (June 17,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STLD has outperformed both SLX (steel ETF) and the S&amp;P 500 since the Q1 print, driven by </w:t>
      </w:r>
      <w:r>
        <w:rPr>
          <w:rFonts w:ascii="Calibri" w:hAnsi="Calibri"/>
          <w:b/>
          <w:color w:val="525866"/>
          <w:sz w:val="22"/>
        </w:rPr>
        <w:t>multiple expansion and earnings upgrades</w:t>
      </w:r>
      <w:r>
        <w:rPr>
          <w:rFonts w:ascii="Calibri" w:hAnsi="Calibri"/>
          <w:color w:val="525866"/>
          <w:sz w:val="22"/>
        </w:rPr>
        <w:t xml:space="preserve"> — but the stock has given back ~14% from its June peak (~$282) to ~$235 today, largely on the guidance reset and write-down announcement (June 17–18), creating a more attractive entry point ahead of the print.</w:t>
      </w:r>
    </w:p>
    <w:p>
      <w:r>
        <w:rPr>
          <w:rFonts w:ascii="Calibri" w:hAnsi="Calibri"/>
          <w:b/>
          <w:color w:val="525866"/>
          <w:sz w:val="22"/>
        </w:rPr>
        <w:t>Indexed Performance Since Q1 2026 Earnings (Base = 100 at April 20, 2026 close):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STLD (Indexed)</w:t>
            </w:r>
          </w:p>
        </w:tc>
        <w:tc>
          <w:tcPr>
            <w:tcW w:type="dxa" w:w="1728"/>
            <w:shd w:val="clear" w:color="auto" w:fill="3B4259"/>
          </w:tcPr>
          <w:p>
            <w:r>
              <w:rPr>
                <w:rFonts w:ascii="Calibri" w:hAnsi="Calibri"/>
                <w:b/>
                <w:color w:val="FFFFFF"/>
                <w:sz w:val="22"/>
              </w:rPr>
              <w:t>SLX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20, 2026 (Q1 earnings day)</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release</w:t>
            </w:r>
          </w:p>
        </w:tc>
      </w:tr>
      <w:tr>
        <w:tc>
          <w:tcPr>
            <w:tcW w:type="dxa" w:w="1728"/>
          </w:tcPr>
          <w:p>
            <w:r>
              <w:rPr>
                <w:rFonts w:ascii="Calibri" w:hAnsi="Calibri"/>
                <w:sz w:val="22"/>
              </w:rPr>
              <w:t>Apr 21, 2026 (Q1 call day)</w:t>
            </w:r>
          </w:p>
        </w:tc>
        <w:tc>
          <w:tcPr>
            <w:tcW w:type="dxa" w:w="1728"/>
          </w:tcPr>
          <w:p>
            <w:r>
              <w:rPr>
                <w:rFonts w:ascii="Calibri" w:hAnsi="Calibri"/>
                <w:sz w:val="22"/>
              </w:rPr>
              <w:t>105.2</w:t>
            </w:r>
          </w:p>
        </w:tc>
        <w:tc>
          <w:tcPr>
            <w:tcW w:type="dxa" w:w="1728"/>
          </w:tcPr>
          <w:p>
            <w:r>
              <w:rPr>
                <w:rFonts w:ascii="Calibri" w:hAnsi="Calibri"/>
                <w:sz w:val="22"/>
              </w:rPr>
              <w:t>98.9</w:t>
            </w:r>
          </w:p>
        </w:tc>
        <w:tc>
          <w:tcPr>
            <w:tcW w:type="dxa" w:w="1728"/>
          </w:tcPr>
          <w:p>
            <w:r>
              <w:rPr>
                <w:rFonts w:ascii="Calibri" w:hAnsi="Calibri"/>
                <w:sz w:val="22"/>
              </w:rPr>
              <w:t>99.3</w:t>
            </w:r>
          </w:p>
        </w:tc>
        <w:tc>
          <w:tcPr>
            <w:tcW w:type="dxa" w:w="1728"/>
          </w:tcPr>
          <w:p>
            <w:r>
              <w:rPr>
                <w:rFonts w:ascii="Calibri" w:hAnsi="Calibri"/>
                <w:sz w:val="22"/>
              </w:rPr>
              <w:t>Stock +5.2% on earnings day; strong steel ops &amp; aluminum recovery</w:t>
            </w:r>
          </w:p>
        </w:tc>
      </w:tr>
      <w:tr>
        <w:tc>
          <w:tcPr>
            <w:tcW w:type="dxa" w:w="1728"/>
          </w:tcPr>
          <w:p>
            <w:r>
              <w:rPr>
                <w:rFonts w:ascii="Calibri" w:hAnsi="Calibri"/>
                <w:sz w:val="22"/>
              </w:rPr>
              <w:t>May 6, 2026</w:t>
            </w:r>
          </w:p>
        </w:tc>
        <w:tc>
          <w:tcPr>
            <w:tcW w:type="dxa" w:w="1728"/>
          </w:tcPr>
          <w:p>
            <w:r>
              <w:rPr>
                <w:rFonts w:ascii="Calibri" w:hAnsi="Calibri"/>
                <w:sz w:val="22"/>
              </w:rPr>
              <w:t>115.5</w:t>
            </w:r>
          </w:p>
        </w:tc>
        <w:tc>
          <w:tcPr>
            <w:tcW w:type="dxa" w:w="1728"/>
          </w:tcPr>
          <w:p>
            <w:r>
              <w:rPr>
                <w:rFonts w:ascii="Calibri" w:hAnsi="Calibri"/>
                <w:sz w:val="22"/>
              </w:rPr>
              <w:t>106.5</w:t>
            </w:r>
          </w:p>
        </w:tc>
        <w:tc>
          <w:tcPr>
            <w:tcW w:type="dxa" w:w="1728"/>
          </w:tcPr>
          <w:p>
            <w:r>
              <w:rPr>
                <w:rFonts w:ascii="Calibri" w:hAnsi="Calibri"/>
                <w:sz w:val="22"/>
              </w:rPr>
              <w:t>103.5</w:t>
            </w:r>
          </w:p>
        </w:tc>
        <w:tc>
          <w:tcPr>
            <w:tcW w:type="dxa" w:w="1728"/>
          </w:tcPr>
          <w:p>
            <w:r>
              <w:rPr>
                <w:rFonts w:ascii="Calibri" w:hAnsi="Calibri"/>
                <w:sz w:val="22"/>
              </w:rPr>
              <w:t>Steel sector rally; HRC spot &gt;$1,000/ton</w:t>
            </w:r>
          </w:p>
        </w:tc>
      </w:tr>
      <w:tr>
        <w:tc>
          <w:tcPr>
            <w:tcW w:type="dxa" w:w="1728"/>
          </w:tcPr>
          <w:p>
            <w:r>
              <w:rPr>
                <w:rFonts w:ascii="Calibri" w:hAnsi="Calibri"/>
                <w:sz w:val="22"/>
              </w:rPr>
              <w:t>Jun 4, 2026 (peak)</w:t>
            </w:r>
          </w:p>
        </w:tc>
        <w:tc>
          <w:tcPr>
            <w:tcW w:type="dxa" w:w="1728"/>
          </w:tcPr>
          <w:p>
            <w:r>
              <w:rPr>
                <w:rFonts w:ascii="Calibri" w:hAnsi="Calibri"/>
                <w:sz w:val="22"/>
              </w:rPr>
              <w:t>132.2</w:t>
            </w:r>
          </w:p>
        </w:tc>
        <w:tc>
          <w:tcPr>
            <w:tcW w:type="dxa" w:w="1728"/>
          </w:tcPr>
          <w:p>
            <w:r>
              <w:rPr>
                <w:rFonts w:ascii="Calibri" w:hAnsi="Calibri"/>
                <w:sz w:val="22"/>
              </w:rPr>
              <w:t>109.6</w:t>
            </w:r>
          </w:p>
        </w:tc>
        <w:tc>
          <w:tcPr>
            <w:tcW w:type="dxa" w:w="1728"/>
          </w:tcPr>
          <w:p>
            <w:r>
              <w:rPr>
                <w:rFonts w:ascii="Calibri" w:hAnsi="Calibri"/>
                <w:sz w:val="22"/>
              </w:rPr>
              <w:t>106.8</w:t>
            </w:r>
          </w:p>
        </w:tc>
        <w:tc>
          <w:tcPr>
            <w:tcW w:type="dxa" w:w="1728"/>
          </w:tcPr>
          <w:p>
            <w:r>
              <w:rPr>
                <w:rFonts w:ascii="Calibri" w:hAnsi="Calibri"/>
                <w:sz w:val="22"/>
              </w:rPr>
              <w:t>STLD peak ~$277; strong steel pricing momentum</w:t>
            </w:r>
          </w:p>
        </w:tc>
      </w:tr>
      <w:tr>
        <w:tc>
          <w:tcPr>
            <w:tcW w:type="dxa" w:w="1728"/>
          </w:tcPr>
          <w:p>
            <w:r>
              <w:rPr>
                <w:rFonts w:ascii="Calibri" w:hAnsi="Calibri"/>
                <w:sz w:val="22"/>
              </w:rPr>
              <w:t>Jun 17–18, 2026</w:t>
            </w:r>
          </w:p>
        </w:tc>
        <w:tc>
          <w:tcPr>
            <w:tcW w:type="dxa" w:w="1728"/>
          </w:tcPr>
          <w:p>
            <w:r>
              <w:rPr>
                <w:rFonts w:ascii="Calibri" w:hAnsi="Calibri"/>
                <w:sz w:val="22"/>
              </w:rPr>
              <w:t>119.4</w:t>
            </w:r>
          </w:p>
        </w:tc>
        <w:tc>
          <w:tcPr>
            <w:tcW w:type="dxa" w:w="1728"/>
          </w:tcPr>
          <w:p>
            <w:r>
              <w:rPr>
                <w:rFonts w:ascii="Calibri" w:hAnsi="Calibri"/>
                <w:sz w:val="22"/>
              </w:rPr>
              <w:t>103.3</w:t>
            </w:r>
          </w:p>
        </w:tc>
        <w:tc>
          <w:tcPr>
            <w:tcW w:type="dxa" w:w="1728"/>
          </w:tcPr>
          <w:p>
            <w:r>
              <w:rPr>
                <w:rFonts w:ascii="Calibri" w:hAnsi="Calibri"/>
                <w:sz w:val="22"/>
              </w:rPr>
              <w:t>105.3</w:t>
            </w:r>
          </w:p>
        </w:tc>
        <w:tc>
          <w:tcPr>
            <w:tcW w:type="dxa" w:w="1728"/>
          </w:tcPr>
          <w:p>
            <w:r>
              <w:rPr>
                <w:rFonts w:ascii="Calibri" w:hAnsi="Calibri"/>
                <w:sz w:val="22"/>
              </w:rPr>
              <w:t>2Q guidance issued; $16M write-down; AZ→MS slab center relocation</w:t>
            </w:r>
          </w:p>
        </w:tc>
      </w:tr>
      <w:tr>
        <w:tc>
          <w:tcPr>
            <w:tcW w:type="dxa" w:w="1728"/>
          </w:tcPr>
          <w:p>
            <w:r>
              <w:rPr>
                <w:rFonts w:ascii="Calibri" w:hAnsi="Calibri"/>
                <w:sz w:val="22"/>
              </w:rPr>
              <w:t>Jul 17, 2026 (latest)</w:t>
            </w:r>
          </w:p>
        </w:tc>
        <w:tc>
          <w:tcPr>
            <w:tcW w:type="dxa" w:w="1728"/>
          </w:tcPr>
          <w:p>
            <w:r>
              <w:rPr>
                <w:rFonts w:ascii="Calibri" w:hAnsi="Calibri"/>
                <w:sz w:val="22"/>
              </w:rPr>
              <w:t>112.5</w:t>
            </w:r>
          </w:p>
        </w:tc>
        <w:tc>
          <w:tcPr>
            <w:tcW w:type="dxa" w:w="1728"/>
          </w:tcPr>
          <w:p>
            <w:r>
              <w:rPr>
                <w:rFonts w:ascii="Calibri" w:hAnsi="Calibri"/>
                <w:sz w:val="22"/>
              </w:rPr>
              <w:t>98.3</w:t>
            </w:r>
          </w:p>
        </w:tc>
        <w:tc>
          <w:tcPr>
            <w:tcW w:type="dxa" w:w="1728"/>
          </w:tcPr>
          <w:p>
            <w:r>
              <w:rPr>
                <w:rFonts w:ascii="Calibri" w:hAnsi="Calibri"/>
                <w:sz w:val="22"/>
              </w:rPr>
              <w:t>104.9</w:t>
            </w:r>
          </w:p>
        </w:tc>
        <w:tc>
          <w:tcPr>
            <w:tcW w:type="dxa" w:w="1728"/>
          </w:tcPr>
          <w:p>
            <w:r>
              <w:rPr>
                <w:rFonts w:ascii="Calibri" w:hAnsi="Calibri"/>
                <w:sz w:val="22"/>
              </w:rPr>
              <w:t>STLD +12.5% vs. SLX −1.7% and SPY +4.9% since Q1 print</w:t>
            </w:r>
          </w:p>
        </w:tc>
      </w:tr>
    </w:tbl>
    <w:p>
      <w:r>
        <w:rPr>
          <w:rFonts w:ascii="Calibri" w:hAnsi="Calibri"/>
          <w:b/>
          <w:color w:val="525866"/>
          <w:sz w:val="22"/>
        </w:rPr>
        <w:t xml:space="preserve">Performance Decomposition: </w:t>
      </w:r>
      <w:r>
        <w:rPr>
          <w:rFonts w:ascii="Calibri" w:hAnsi="Calibri"/>
          <w:color w:val="525866"/>
          <w:sz w:val="22"/>
        </w:rPr>
        <w:t>Over the past 3 months, STLD is up ~+20%, with EV/EBITDA multiple essentially flat (+0.4%) — meaning the move was almost entirely earnings-driven (estimate upgrades). Over 12 months, STLD is up ~+85%, with ~18% from multiple expansion and the remainder from earnings growth. The current NTM EV/EBITDA of 9.1x is above the 6-month ago level of 8.6x but below the 12-month ago level of 7.7x on a relative basis, suggesting the stock is not stretched. The recent pullback from the June peak has compressed the multiple back toward the lower end of the recent range, creating a more balanced risk/reward into the print.</w:t>
      </w:r>
    </w:p>
    <w:p>
      <w:r>
        <w:rPr>
          <w:rFonts w:ascii="Calibri" w:hAnsi="Calibri"/>
          <w:i/>
          <w:color w:val="525866"/>
          <w:sz w:val="22"/>
        </w:rPr>
        <w:t>Note: SLX (VanEck Steel ETF) used as the sector benchmark, appropriate for STLD’s flat-rolled and long-product steel sub-sector. Sector ETF: SLX.</w:t>
      </w:r>
    </w:p>
    <w:p>
      <w:r>
        <w:rPr>
          <w:rFonts w:ascii="Calibri" w:hAnsi="Calibri"/>
          <w:i/>
          <w:color w:val="525866"/>
          <w:sz w:val="22"/>
        </w:rPr>
        <w:t>Source: Stock Price Data (Yahoo Finance); Stock Performance Decomposition (Visible Alpha / Implied).</w:t>
      </w:r>
    </w:p>
    <w:p>
      <w:r>
        <w:br w:type="page"/>
      </w:r>
    </w:p>
    <w:p>
      <w:pPr>
        <w:pStyle w:val="Heading2"/>
      </w:pPr>
      <w:r>
        <w:rPr>
          <w:rFonts w:ascii="Calibri" w:hAnsi="Calibri"/>
          <w:b/>
          <w:color w:val="3B4259"/>
          <w:sz w:val="28"/>
        </w:rPr>
        <w:t>6.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bullish</w:t>
      </w:r>
      <w:r>
        <w:rPr>
          <w:rFonts w:ascii="Calibri" w:hAnsi="Calibri"/>
          <w:color w:val="525866"/>
          <w:sz w:val="22"/>
        </w:rPr>
        <w:t xml:space="preserve"> on the 2Q 2026 steel environment — Nucor, CLF, and CMC all point to expanding metal margins, strong demand, record or near-record backlogs, and declining imports. This is a strong read-through for STLD’s steel operations. The aluminum read-through is less direct but the broader aluminum market tailwinds (50% tariffs on imports, domestic supply deficit) are supportive.</w:t>
      </w:r>
    </w:p>
    <w:p>
      <w:r>
        <w:rPr>
          <w:rFonts w:ascii="Calibri" w:hAnsi="Calibri"/>
          <w:b/>
          <w:color w:val="525866"/>
          <w:sz w:val="22"/>
        </w:rPr>
        <w:t xml:space="preserve">Methodology: </w:t>
      </w:r>
      <w:r>
        <w:rPr>
          <w:rFonts w:ascii="Calibri" w:hAnsi="Calibri"/>
          <w:color w:val="525866"/>
          <w:sz w:val="22"/>
        </w:rPr>
        <w:t>Only forward-looking commentary about the current unreported quarter (2Q 2026 / April–June 2026) or beyond, disclosed within the last 60 days (since May 19, 2026), is included. Backward-looking reported-quarter results commentary is excluded. Peers included: Nucor (NUE, reported April 28), Cleveland-Cliffs (CLF, reported April 20), Commercial Metals Company (CMC, reported June 25), and Ternium (TX, reported May 6).</w:t>
      </w:r>
    </w:p>
    <w:p>
      <w:pPr>
        <w:pStyle w:val="Heading3"/>
      </w:pPr>
      <w:r>
        <w:rPr>
          <w:rFonts w:ascii="Calibri" w:hAnsi="Calibri"/>
          <w:b/>
          <w:color w:val="3B4259"/>
          <w:sz w:val="24"/>
        </w:rPr>
        <w:t>6.1 Nucor Corporation (NUE) — 1Q 2026 Earnings Call, April 28, 2026</w:t>
      </w:r>
    </w:p>
    <w:p>
      <w:r>
        <w:rPr>
          <w:rFonts w:ascii="Calibri" w:hAnsi="Calibri"/>
          <w:b/>
          <w:color w:val="525866"/>
          <w:sz w:val="22"/>
        </w:rPr>
        <w:t xml:space="preserve">Relevance Window: </w:t>
      </w:r>
      <w:r>
        <w:rPr>
          <w:rFonts w:ascii="Calibri" w:hAnsi="Calibri"/>
          <w:color w:val="525866"/>
          <w:sz w:val="22"/>
        </w:rPr>
        <w:t>Commentary about 2Q 2026 and full-year 2026 outlook. Disclosed April 28, 2026 (within 60-day window).</w:t>
      </w:r>
    </w:p>
    <w:p>
      <w:pPr>
        <w:pStyle w:val="ListBullet"/>
        <w:ind w:left="360" w:hanging="360"/>
      </w:pPr>
      <w:r>
        <w:rPr>
          <w:rFonts w:ascii="Calibri" w:hAnsi="Calibri"/>
          <w:color w:val="525866"/>
          <w:sz w:val="22"/>
        </w:rPr>
        <w:t>Pricing &amp; Margins (</w:t>
      </w:r>
      <w:r>
        <w:rPr>
          <w:rFonts w:ascii="Calibri" w:hAnsi="Calibri"/>
          <w:b/>
          <w:color w:val="525866"/>
          <w:sz w:val="22"/>
        </w:rPr>
        <w:t>Highly Relevant</w:t>
      </w:r>
      <w:r>
        <w:rPr>
          <w:rFonts w:ascii="Calibri" w:hAnsi="Calibri"/>
          <w:color w:val="525866"/>
          <w:sz w:val="22"/>
        </w:rPr>
        <w:t xml:space="preserve">): </w:t>
      </w:r>
      <w:r>
        <w:rPr>
          <w:rFonts w:ascii="Calibri" w:hAnsi="Calibri"/>
          <w:i/>
          <w:color w:val="525866"/>
          <w:sz w:val="22"/>
        </w:rPr>
        <w:t>"The fundamentals supporting pricing right now are really strong. And I would say the rally we’re in is probably the strongest kind of fundamentals we’ve seen for some time."</w:t>
      </w:r>
      <w:r>
        <w:rPr>
          <w:rFonts w:ascii="Calibri" w:hAnsi="Calibri"/>
          <w:color w:val="525866"/>
          <w:sz w:val="22"/>
        </w:rPr>
        <w:t xml:space="preserve"> (Noah Hanners, EVP Sheet Products) — Nucor guided 2Q steel mills to see "increasing metal margins" driven by higher realized pricing. Directly supports STLD’s steel operations guidance of "meaningfully higher" profitability.</w:t>
      </w:r>
    </w:p>
    <w:p>
      <w:pPr>
        <w:pStyle w:val="ListBullet"/>
        <w:ind w:left="360" w:hanging="360"/>
      </w:pPr>
      <w:r>
        <w:rPr>
          <w:rFonts w:ascii="Calibri" w:hAnsi="Calibri"/>
          <w:color w:val="525866"/>
          <w:sz w:val="22"/>
        </w:rPr>
        <w:t>Shipments &amp; Demand (</w:t>
      </w:r>
      <w:r>
        <w:rPr>
          <w:rFonts w:ascii="Calibri" w:hAnsi="Calibri"/>
          <w:b/>
          <w:color w:val="525866"/>
          <w:sz w:val="22"/>
        </w:rPr>
        <w:t>Highly Relevant</w:t>
      </w:r>
      <w:r>
        <w:rPr>
          <w:rFonts w:ascii="Calibri" w:hAnsi="Calibri"/>
          <w:color w:val="525866"/>
          <w:sz w:val="22"/>
        </w:rPr>
        <w:t xml:space="preserve">): </w:t>
      </w:r>
      <w:r>
        <w:rPr>
          <w:rFonts w:ascii="Calibri" w:hAnsi="Calibri"/>
          <w:color w:val="525866"/>
          <w:sz w:val="22"/>
        </w:rPr>
        <w:t xml:space="preserve">Nucor’s steel mills backlog hit 4.7 million tons at end of 1Q 2026, a 20% increase from year-end and the highest since 2Q 2021. CEO Leon Topalian: </w:t>
      </w:r>
      <w:r>
        <w:rPr>
          <w:rFonts w:ascii="Calibri" w:hAnsi="Calibri"/>
          <w:i/>
          <w:color w:val="525866"/>
          <w:sz w:val="22"/>
        </w:rPr>
        <w:t>"our customers that I’m talking to today are busier than anything they’ve ever seen in their history."</w:t>
      </w:r>
      <w:r>
        <w:rPr>
          <w:rFonts w:ascii="Calibri" w:hAnsi="Calibri"/>
          <w:color w:val="525866"/>
          <w:sz w:val="22"/>
        </w:rPr>
        <w:t xml:space="preserve"> Guided 2Q steel mills to "stable volumes" and Steel Products to "higher volumes." Shipment growth for full year revised upward toward double digits from initial 5%+ guidance.</w:t>
      </w:r>
    </w:p>
    <w:p>
      <w:pPr>
        <w:pStyle w:val="ListBullet"/>
        <w:ind w:left="360" w:hanging="360"/>
      </w:pPr>
      <w:r>
        <w:rPr>
          <w:rFonts w:ascii="Calibri" w:hAnsi="Calibri"/>
          <w:color w:val="525866"/>
          <w:sz w:val="22"/>
        </w:rPr>
        <w:t>Imports (</w:t>
      </w:r>
      <w:r>
        <w:rPr>
          <w:rFonts w:ascii="Calibri" w:hAnsi="Calibri"/>
          <w:b/>
          <w:color w:val="525866"/>
          <w:sz w:val="22"/>
        </w:rPr>
        <w:t>Highly Relevant</w:t>
      </w:r>
      <w:r>
        <w:rPr>
          <w:rFonts w:ascii="Calibri" w:hAnsi="Calibri"/>
          <w:color w:val="525866"/>
          <w:sz w:val="22"/>
        </w:rPr>
        <w:t xml:space="preserve">): </w:t>
      </w:r>
      <w:r>
        <w:rPr>
          <w:rFonts w:ascii="Calibri" w:hAnsi="Calibri"/>
          <w:color w:val="525866"/>
          <w:sz w:val="22"/>
        </w:rPr>
        <w:t xml:space="preserve">Import share of U.S. finished steel market fell from 22%+ in 1Q 2025 to ~15% in 1Q 2026 — </w:t>
      </w:r>
      <w:r>
        <w:rPr>
          <w:rFonts w:ascii="Calibri" w:hAnsi="Calibri"/>
          <w:i/>
          <w:color w:val="525866"/>
          <w:sz w:val="22"/>
        </w:rPr>
        <w:t>"the lowest I’ve seen in my entire career at Nucor."</w:t>
      </w:r>
      <w:r>
        <w:rPr>
          <w:rFonts w:ascii="Calibri" w:hAnsi="Calibri"/>
          <w:color w:val="525866"/>
          <w:sz w:val="22"/>
        </w:rPr>
        <w:t xml:space="preserve"> Imports tracking 4 million tons or under in 2026 vs. ~9 million tons in 2024, creating a 5 million ton window for domestic suppliers. Directly supports STLD’s pricing and volume outlook.</w:t>
      </w:r>
    </w:p>
    <w:p>
      <w:pPr>
        <w:pStyle w:val="ListBullet"/>
        <w:ind w:left="360" w:hanging="360"/>
      </w:pPr>
      <w:r>
        <w:rPr>
          <w:rFonts w:ascii="Calibri" w:hAnsi="Calibri"/>
          <w:color w:val="525866"/>
          <w:sz w:val="22"/>
        </w:rPr>
        <w:t>End Markets (</w:t>
      </w:r>
      <w:r>
        <w:rPr>
          <w:rFonts w:ascii="Calibri" w:hAnsi="Calibri"/>
          <w:b/>
          <w:color w:val="525866"/>
          <w:sz w:val="22"/>
        </w:rPr>
        <w:t>Highly Relevant</w:t>
      </w:r>
      <w:r>
        <w:rPr>
          <w:rFonts w:ascii="Calibri" w:hAnsi="Calibri"/>
          <w:color w:val="525866"/>
          <w:sz w:val="22"/>
        </w:rPr>
        <w:t xml:space="preserve">): </w:t>
      </w:r>
      <w:r>
        <w:rPr>
          <w:rFonts w:ascii="Calibri" w:hAnsi="Calibri"/>
          <w:color w:val="525866"/>
          <w:sz w:val="22"/>
        </w:rPr>
        <w:t>Data centers, energy, infrastructure, and border fence identified as pockets of exceptional strength. Structural steel backlogs at historic levels. HVAC customers signaling a strong 2H nonresidential construction environment. These are core STLD end markets.</w:t>
      </w:r>
    </w:p>
    <w:p>
      <w:pPr>
        <w:pStyle w:val="ListBullet"/>
        <w:ind w:left="360" w:hanging="360"/>
      </w:pPr>
      <w:r>
        <w:rPr>
          <w:rFonts w:ascii="Calibri" w:hAnsi="Calibri"/>
          <w:color w:val="525866"/>
          <w:sz w:val="22"/>
        </w:rPr>
        <w:t>Full-Year Guidance (</w:t>
      </w:r>
      <w:r>
        <w:rPr>
          <w:rFonts w:ascii="Calibri" w:hAnsi="Calibri"/>
          <w:b/>
          <w:color w:val="525866"/>
          <w:sz w:val="22"/>
        </w:rPr>
        <w:t>Highly Relevant</w:t>
      </w:r>
      <w:r>
        <w:rPr>
          <w:rFonts w:ascii="Calibri" w:hAnsi="Calibri"/>
          <w:color w:val="525866"/>
          <w:sz w:val="22"/>
        </w:rPr>
        <w:t xml:space="preserve">): </w:t>
      </w:r>
      <w:r>
        <w:rPr>
          <w:rFonts w:ascii="Calibri" w:hAnsi="Calibri"/>
          <w:i/>
          <w:color w:val="525866"/>
          <w:sz w:val="22"/>
        </w:rPr>
        <w:t>"I think 2026 is going to be a very strong year for Nucor."</w:t>
      </w:r>
      <w:r>
        <w:rPr>
          <w:rFonts w:ascii="Calibri" w:hAnsi="Calibri"/>
          <w:color w:val="525866"/>
          <w:sz w:val="22"/>
        </w:rPr>
        <w:t xml:space="preserve"> Nucor guided full-year earnings and cash flow to trend "significantly higher than 2025." Consistent with STLD’s own constructive tone.</w:t>
      </w:r>
    </w:p>
    <w:p>
      <w:pPr>
        <w:pStyle w:val="Heading3"/>
      </w:pPr>
      <w:r>
        <w:rPr>
          <w:rFonts w:ascii="Calibri" w:hAnsi="Calibri"/>
          <w:b/>
          <w:color w:val="3B4259"/>
          <w:sz w:val="24"/>
        </w:rPr>
        <w:t>6.2 Cleveland-Cliffs (CLF) — 1Q 2026 Earnings Call, April 20, 2026</w:t>
      </w:r>
    </w:p>
    <w:p>
      <w:r>
        <w:rPr>
          <w:rFonts w:ascii="Calibri" w:hAnsi="Calibri"/>
          <w:b/>
          <w:color w:val="525866"/>
          <w:sz w:val="22"/>
        </w:rPr>
        <w:t xml:space="preserve">Relevance Window: </w:t>
      </w:r>
      <w:r>
        <w:rPr>
          <w:rFonts w:ascii="Calibri" w:hAnsi="Calibri"/>
          <w:color w:val="525866"/>
          <w:sz w:val="22"/>
        </w:rPr>
        <w:t>Commentary about 2Q 2026 and beyond. Disclosed April 20, 2026 (within 60-day window).</w:t>
      </w:r>
    </w:p>
    <w:p>
      <w:pPr>
        <w:pStyle w:val="ListBullet"/>
        <w:ind w:left="360" w:hanging="360"/>
      </w:pPr>
      <w:r>
        <w:rPr>
          <w:rFonts w:ascii="Calibri" w:hAnsi="Calibri"/>
          <w:color w:val="525866"/>
          <w:sz w:val="22"/>
        </w:rPr>
        <w:t>Pricing (</w:t>
      </w:r>
      <w:r>
        <w:rPr>
          <w:rFonts w:ascii="Calibri" w:hAnsi="Calibri"/>
          <w:b/>
          <w:color w:val="525866"/>
          <w:sz w:val="22"/>
        </w:rPr>
        <w:t>Highly Relevant</w:t>
      </w:r>
      <w:r>
        <w:rPr>
          <w:rFonts w:ascii="Calibri" w:hAnsi="Calibri"/>
          <w:color w:val="525866"/>
          <w:sz w:val="22"/>
        </w:rPr>
        <w:t xml:space="preserve">): </w:t>
      </w:r>
      <w:r>
        <w:rPr>
          <w:rFonts w:ascii="Calibri" w:hAnsi="Calibri"/>
          <w:color w:val="525866"/>
          <w:sz w:val="22"/>
        </w:rPr>
        <w:t xml:space="preserve">CFO Celso Goncalves guided 2Q selling prices up ~$60/ton from 1Q. </w:t>
      </w:r>
      <w:r>
        <w:rPr>
          <w:rFonts w:ascii="Calibri" w:hAnsi="Calibri"/>
          <w:i/>
          <w:color w:val="525866"/>
          <w:sz w:val="22"/>
        </w:rPr>
        <w:t>"Q2 is going to be much better than Q1 and Q3 should be much better than Q2."</w:t>
      </w:r>
      <w:r>
        <w:rPr>
          <w:rFonts w:ascii="Calibri" w:hAnsi="Calibri"/>
          <w:color w:val="525866"/>
          <w:sz w:val="22"/>
        </w:rPr>
        <w:t xml:space="preserve"> Pricing lag of ~2 months means 1Q price strength flows into 2Q results — directly applicable to STLD’s ~75–80% lagging flat-rolled contract book.</w:t>
      </w:r>
    </w:p>
    <w:p>
      <w:pPr>
        <w:pStyle w:val="ListBullet"/>
        <w:ind w:left="360" w:hanging="360"/>
      </w:pPr>
      <w:r>
        <w:rPr>
          <w:rFonts w:ascii="Calibri" w:hAnsi="Calibri"/>
          <w:color w:val="525866"/>
          <w:sz w:val="22"/>
        </w:rPr>
        <w:t>Shipments (</w:t>
      </w:r>
      <w:r>
        <w:rPr>
          <w:rFonts w:ascii="Calibri" w:hAnsi="Calibri"/>
          <w:b/>
          <w:color w:val="525866"/>
          <w:sz w:val="22"/>
        </w:rPr>
        <w:t>Highly Relevant</w:t>
      </w:r>
      <w:r>
        <w:rPr>
          <w:rFonts w:ascii="Calibri" w:hAnsi="Calibri"/>
          <w:color w:val="525866"/>
          <w:sz w:val="22"/>
        </w:rPr>
        <w:t xml:space="preserve">): </w:t>
      </w:r>
      <w:r>
        <w:rPr>
          <w:rFonts w:ascii="Calibri" w:hAnsi="Calibri"/>
          <w:i/>
          <w:color w:val="525866"/>
          <w:sz w:val="22"/>
        </w:rPr>
        <w:t>"Shipments should increase further into Q2 as this trend continues."</w:t>
      </w:r>
      <w:r>
        <w:rPr>
          <w:rFonts w:ascii="Calibri" w:hAnsi="Calibri"/>
          <w:color w:val="525866"/>
          <w:sz w:val="22"/>
        </w:rPr>
        <w:t xml:space="preserve"> CLF guided 2Q shipments above 4.1 million tons, up from 1Q. Full order book, tight production schedules, extended lead times. Automotive shipments expected to increase after reaching highest level in nearly 2 years in 1Q.</w:t>
      </w:r>
    </w:p>
    <w:p>
      <w:pPr>
        <w:pStyle w:val="ListBullet"/>
        <w:ind w:left="360" w:hanging="360"/>
      </w:pPr>
      <w:r>
        <w:rPr>
          <w:rFonts w:ascii="Calibri" w:hAnsi="Calibri"/>
          <w:color w:val="525866"/>
          <w:sz w:val="22"/>
        </w:rPr>
        <w:t>Imports (</w:t>
      </w:r>
      <w:r>
        <w:rPr>
          <w:rFonts w:ascii="Calibri" w:hAnsi="Calibri"/>
          <w:b/>
          <w:color w:val="525866"/>
          <w:sz w:val="22"/>
        </w:rPr>
        <w:t>Highly Relevant</w:t>
      </w:r>
      <w:r>
        <w:rPr>
          <w:rFonts w:ascii="Calibri" w:hAnsi="Calibri"/>
          <w:color w:val="525866"/>
          <w:sz w:val="22"/>
        </w:rPr>
        <w:t xml:space="preserve">): </w:t>
      </w:r>
      <w:r>
        <w:rPr>
          <w:rFonts w:ascii="Calibri" w:hAnsi="Calibri"/>
          <w:i/>
          <w:color w:val="525866"/>
          <w:sz w:val="22"/>
        </w:rPr>
        <w:t>"Steel imports into the United States are at their lowest levels since 2009."</w:t>
      </w:r>
      <w:r>
        <w:rPr>
          <w:rFonts w:ascii="Calibri" w:hAnsi="Calibri"/>
          <w:color w:val="525866"/>
          <w:sz w:val="22"/>
        </w:rPr>
        <w:t xml:space="preserve"> Section 232 enforcement and derivative product tariff changes cited as effective. Imported steel now structurally more expensive due to transportation costs, energy volatility, and geopolitical risk.</w:t>
      </w:r>
    </w:p>
    <w:p>
      <w:pPr>
        <w:pStyle w:val="ListBullet"/>
        <w:ind w:left="360" w:hanging="360"/>
      </w:pPr>
      <w:r>
        <w:rPr>
          <w:rFonts w:ascii="Calibri" w:hAnsi="Calibri"/>
          <w:color w:val="525866"/>
          <w:sz w:val="22"/>
        </w:rPr>
        <w:t>Aluminum-to-Steel Substitution (</w:t>
      </w:r>
      <w:r>
        <w:rPr>
          <w:rFonts w:ascii="Calibri" w:hAnsi="Calibri"/>
          <w:b/>
          <w:color w:val="525866"/>
          <w:sz w:val="22"/>
        </w:rPr>
        <w:t>Relevant</w:t>
      </w:r>
      <w:r>
        <w:rPr>
          <w:rFonts w:ascii="Calibri" w:hAnsi="Calibri"/>
          <w:color w:val="525866"/>
          <w:sz w:val="22"/>
        </w:rPr>
        <w:t xml:space="preserve">): </w:t>
      </w:r>
      <w:r>
        <w:rPr>
          <w:rFonts w:ascii="Calibri" w:hAnsi="Calibri"/>
          <w:color w:val="525866"/>
          <w:sz w:val="22"/>
        </w:rPr>
        <w:t xml:space="preserve">CEO Lourenco Goncalves: </w:t>
      </w:r>
      <w:r>
        <w:rPr>
          <w:rFonts w:ascii="Calibri" w:hAnsi="Calibri"/>
          <w:i/>
          <w:color w:val="525866"/>
          <w:sz w:val="22"/>
        </w:rPr>
        <w:t>"In my long career in this business, I have never seen so much momentum in substituting aluminum with steel."</w:t>
      </w:r>
      <w:r>
        <w:rPr>
          <w:rFonts w:ascii="Calibri" w:hAnsi="Calibri"/>
          <w:color w:val="525866"/>
          <w:sz w:val="22"/>
        </w:rPr>
        <w:t xml:space="preserve"> Substitution occurring in automotive, building products, appliances, and truck &amp; trailer. This is a nuanced read-through for STLD — positive for steel volumes but a potential headwind for STLD’s aluminum business long-term (though STLD management has not flagged this as a concern).</w:t>
      </w:r>
    </w:p>
    <w:p>
      <w:pPr>
        <w:pStyle w:val="ListBullet"/>
        <w:ind w:left="360" w:hanging="360"/>
      </w:pPr>
      <w:r>
        <w:rPr>
          <w:rFonts w:ascii="Calibri" w:hAnsi="Calibri"/>
          <w:color w:val="525866"/>
          <w:sz w:val="22"/>
        </w:rPr>
        <w:t>Cash Flow (</w:t>
      </w:r>
      <w:r>
        <w:rPr>
          <w:rFonts w:ascii="Calibri" w:hAnsi="Calibri"/>
          <w:b/>
          <w:color w:val="525866"/>
          <w:sz w:val="22"/>
        </w:rPr>
        <w:t>Relevant</w:t>
      </w:r>
      <w:r>
        <w:rPr>
          <w:rFonts w:ascii="Calibri" w:hAnsi="Calibri"/>
          <w:color w:val="525866"/>
          <w:sz w:val="22"/>
        </w:rPr>
        <w:t xml:space="preserve">): </w:t>
      </w:r>
      <w:r>
        <w:rPr>
          <w:rFonts w:ascii="Calibri" w:hAnsi="Calibri"/>
          <w:i/>
          <w:color w:val="525866"/>
          <w:sz w:val="22"/>
        </w:rPr>
        <w:t>"From both an EBITDA and cash flow standpoint, Q2 should be our best quarter in nearly 2 years."</w:t>
      </w:r>
      <w:r>
        <w:rPr>
          <w:rFonts w:ascii="Calibri" w:hAnsi="Calibri"/>
          <w:color w:val="525866"/>
          <w:sz w:val="22"/>
        </w:rPr>
        <w:t xml:space="preserve"> Supports the broader industry view that 2Q 2026 is a strong earnings quarter for steel producers.</w:t>
      </w:r>
    </w:p>
    <w:p>
      <w:pPr>
        <w:pStyle w:val="Heading3"/>
      </w:pPr>
      <w:r>
        <w:rPr>
          <w:rFonts w:ascii="Calibri" w:hAnsi="Calibri"/>
          <w:b/>
          <w:color w:val="3B4259"/>
          <w:sz w:val="24"/>
        </w:rPr>
        <w:t>6.3 Commercial Metals Company (CMC) — 3Q FY2026 Earnings Call, June 25, 2026</w:t>
      </w:r>
    </w:p>
    <w:p>
      <w:r>
        <w:rPr>
          <w:rFonts w:ascii="Calibri" w:hAnsi="Calibri"/>
          <w:b/>
          <w:color w:val="525866"/>
          <w:sz w:val="22"/>
        </w:rPr>
        <w:t xml:space="preserve">Relevance Window: </w:t>
      </w:r>
      <w:r>
        <w:rPr>
          <w:rFonts w:ascii="Calibri" w:hAnsi="Calibri"/>
          <w:color w:val="525866"/>
          <w:sz w:val="22"/>
        </w:rPr>
        <w:t>CMC’s fiscal 3Q covers March–May 2026; forward guidance covers CMC’s fiscal 4Q (June–August 2026), which overlaps with STLD’s 2Q 2026 (April–June 2026). This is the most recent and directly relevant peer commentary. Disclosed June 25, 2026 (within 60-day window).</w:t>
      </w:r>
    </w:p>
    <w:p>
      <w:pPr>
        <w:pStyle w:val="ListBullet"/>
        <w:ind w:left="360" w:hanging="360"/>
      </w:pPr>
      <w:r>
        <w:rPr>
          <w:rFonts w:ascii="Calibri" w:hAnsi="Calibri"/>
          <w:color w:val="525866"/>
          <w:sz w:val="22"/>
        </w:rPr>
        <w:t>Pricing &amp; Margins (</w:t>
      </w:r>
      <w:r>
        <w:rPr>
          <w:rFonts w:ascii="Calibri" w:hAnsi="Calibri"/>
          <w:b/>
          <w:color w:val="525866"/>
          <w:sz w:val="22"/>
        </w:rPr>
        <w:t>Highly Relevant</w:t>
      </w:r>
      <w:r>
        <w:rPr>
          <w:rFonts w:ascii="Calibri" w:hAnsi="Calibri"/>
          <w:color w:val="525866"/>
          <w:sz w:val="22"/>
        </w:rPr>
        <w:t xml:space="preserve">): </w:t>
      </w:r>
      <w:r>
        <w:rPr>
          <w:rFonts w:ascii="Calibri" w:hAnsi="Calibri"/>
          <w:i/>
          <w:color w:val="525866"/>
          <w:sz w:val="22"/>
        </w:rPr>
        <w:t>"Previously announced steel price increases are in the market, taking hold and yielding higher metal margins."</w:t>
      </w:r>
      <w:r>
        <w:rPr>
          <w:rFonts w:ascii="Calibri" w:hAnsi="Calibri"/>
          <w:color w:val="525866"/>
          <w:sz w:val="22"/>
        </w:rPr>
        <w:t xml:space="preserve"> CEO Peter Matte confirmed: </w:t>
      </w:r>
      <w:r>
        <w:rPr>
          <w:rFonts w:ascii="Calibri" w:hAnsi="Calibri"/>
          <w:i/>
          <w:color w:val="525866"/>
          <w:sz w:val="22"/>
        </w:rPr>
        <w:t>"we are realizing increased pricing across the country. And you will see in our fourth quarter that our prices are higher and our margins are higher."</w:t>
      </w:r>
      <w:r>
        <w:rPr>
          <w:rFonts w:ascii="Calibri" w:hAnsi="Calibri"/>
          <w:color w:val="525866"/>
          <w:sz w:val="22"/>
        </w:rPr>
        <w:t xml:space="preserve"> CMC realized ~$75/ton price increase across its product mix from December through May. Directly corroborates STLD’s June 17 guidance of metal margin expansion in 2Q.</w:t>
      </w:r>
    </w:p>
    <w:p>
      <w:pPr>
        <w:pStyle w:val="ListBullet"/>
        <w:ind w:left="360" w:hanging="360"/>
      </w:pPr>
      <w:r>
        <w:rPr>
          <w:rFonts w:ascii="Calibri" w:hAnsi="Calibri"/>
          <w:color w:val="525866"/>
          <w:sz w:val="22"/>
        </w:rPr>
        <w:t>Demand &amp; Shipments (</w:t>
      </w:r>
      <w:r>
        <w:rPr>
          <w:rFonts w:ascii="Calibri" w:hAnsi="Calibri"/>
          <w:b/>
          <w:color w:val="525866"/>
          <w:sz w:val="22"/>
        </w:rPr>
        <w:t>Highly Relevant</w:t>
      </w:r>
      <w:r>
        <w:rPr>
          <w:rFonts w:ascii="Calibri" w:hAnsi="Calibri"/>
          <w:color w:val="525866"/>
          <w:sz w:val="22"/>
        </w:rPr>
        <w:t xml:space="preserve">): </w:t>
      </w:r>
      <w:r>
        <w:rPr>
          <w:rFonts w:ascii="Calibri" w:hAnsi="Calibri"/>
          <w:i/>
          <w:color w:val="525866"/>
          <w:sz w:val="22"/>
        </w:rPr>
        <w:t>"Weather conditions have normalized thus far in Q4, and our steel and precast shipments are seeing strength."</w:t>
      </w:r>
      <w:r>
        <w:rPr>
          <w:rFonts w:ascii="Calibri" w:hAnsi="Calibri"/>
          <w:color w:val="525866"/>
          <w:sz w:val="22"/>
        </w:rPr>
        <w:t xml:space="preserve"> CMC guided its fiscal 4Q to a $40–50M sequential EBITDA improvement. Infrastructure demand "very robust" with &gt;50% of IIJA funding yet to be spent. Data center, semiconductor, and energy network mega-projects driving a multi-year construction pipeline.</w:t>
      </w:r>
    </w:p>
    <w:p>
      <w:pPr>
        <w:pStyle w:val="ListBullet"/>
        <w:ind w:left="360" w:hanging="360"/>
      </w:pPr>
      <w:r>
        <w:rPr>
          <w:rFonts w:ascii="Calibri" w:hAnsi="Calibri"/>
          <w:color w:val="525866"/>
          <w:sz w:val="22"/>
        </w:rPr>
        <w:t>Imports (</w:t>
      </w:r>
      <w:r>
        <w:rPr>
          <w:rFonts w:ascii="Calibri" w:hAnsi="Calibri"/>
          <w:b/>
          <w:color w:val="525866"/>
          <w:sz w:val="22"/>
        </w:rPr>
        <w:t>Highly Relevant</w:t>
      </w:r>
      <w:r>
        <w:rPr>
          <w:rFonts w:ascii="Calibri" w:hAnsi="Calibri"/>
          <w:color w:val="525866"/>
          <w:sz w:val="22"/>
        </w:rPr>
        <w:t xml:space="preserve">): </w:t>
      </w:r>
      <w:r>
        <w:rPr>
          <w:rFonts w:ascii="Calibri" w:hAnsi="Calibri"/>
          <w:color w:val="525866"/>
          <w:sz w:val="22"/>
        </w:rPr>
        <w:t>CMC expects imports "to go down in the second half," citing South Korean economics as uncompetitive at current prices. Anti-dumping and countervailing duties against four countries covering ~500,000 tons of rebar imports provide durable 5-year protection. Elevated ocean freight costs provide additional buffer for domestic producers.</w:t>
      </w:r>
    </w:p>
    <w:p>
      <w:pPr>
        <w:pStyle w:val="ListBullet"/>
        <w:ind w:left="360" w:hanging="360"/>
      </w:pPr>
      <w:r>
        <w:rPr>
          <w:rFonts w:ascii="Calibri" w:hAnsi="Calibri"/>
          <w:color w:val="525866"/>
          <w:sz w:val="22"/>
        </w:rPr>
        <w:t>Scrap Costs (</w:t>
      </w:r>
      <w:r>
        <w:rPr>
          <w:rFonts w:ascii="Calibri" w:hAnsi="Calibri"/>
          <w:b/>
          <w:color w:val="525866"/>
          <w:sz w:val="22"/>
        </w:rPr>
        <w:t>Relevant</w:t>
      </w:r>
      <w:r>
        <w:rPr>
          <w:rFonts w:ascii="Calibri" w:hAnsi="Calibri"/>
          <w:color w:val="525866"/>
          <w:sz w:val="22"/>
        </w:rPr>
        <w:t xml:space="preserve">): </w:t>
      </w:r>
      <w:r>
        <w:rPr>
          <w:rFonts w:ascii="Calibri" w:hAnsi="Calibri"/>
          <w:i/>
          <w:color w:val="525866"/>
          <w:sz w:val="22"/>
        </w:rPr>
        <w:t>"As we look at scrap today, we see a lot of stability for the balance of our fiscal year."</w:t>
      </w:r>
      <w:r>
        <w:rPr>
          <w:rFonts w:ascii="Calibri" w:hAnsi="Calibri"/>
          <w:color w:val="525866"/>
          <w:sz w:val="22"/>
        </w:rPr>
        <w:t xml:space="preserve"> (CFO Paul Lawrence) — Stable scrap costs combined with rising steel prices = expanding metal spreads. Directly supports STLD’s metal margin expansion thesis.</w:t>
      </w:r>
    </w:p>
    <w:p>
      <w:pPr>
        <w:pStyle w:val="ListBullet"/>
        <w:ind w:left="360" w:hanging="360"/>
      </w:pPr>
      <w:r>
        <w:rPr>
          <w:rFonts w:ascii="Calibri" w:hAnsi="Calibri"/>
          <w:color w:val="525866"/>
          <w:sz w:val="22"/>
        </w:rPr>
        <w:t>New Capacity (</w:t>
      </w:r>
      <w:r>
        <w:rPr>
          <w:rFonts w:ascii="Calibri" w:hAnsi="Calibri"/>
          <w:b/>
          <w:color w:val="525866"/>
          <w:sz w:val="22"/>
        </w:rPr>
        <w:t>Relevant</w:t>
      </w:r>
      <w:r>
        <w:rPr>
          <w:rFonts w:ascii="Calibri" w:hAnsi="Calibri"/>
          <w:color w:val="525866"/>
          <w:sz w:val="22"/>
        </w:rPr>
        <w:t xml:space="preserve">): </w:t>
      </w:r>
      <w:r>
        <w:rPr>
          <w:rFonts w:ascii="Calibri" w:hAnsi="Calibri"/>
          <w:color w:val="525866"/>
          <w:sz w:val="22"/>
        </w:rPr>
        <w:t>CMC’s Steel West Virginia micro mill entering hot commissioning in summer 2026, with full ramp over 2027 (~250–300 KT). Management characterized new domestic capacity as "manageable" and noted prices are rising despite its presence — a reassuring signal for the supply/demand balance.</w:t>
      </w:r>
    </w:p>
    <w:p>
      <w:pPr>
        <w:pStyle w:val="Heading3"/>
      </w:pPr>
      <w:r>
        <w:rPr>
          <w:rFonts w:ascii="Calibri" w:hAnsi="Calibri"/>
          <w:b/>
          <w:color w:val="3B4259"/>
          <w:sz w:val="24"/>
        </w:rPr>
        <w:t>6.4 Ternium (TX) — 1Q 2026 Earnings Call, May 6, 2026</w:t>
      </w:r>
    </w:p>
    <w:p>
      <w:r>
        <w:rPr>
          <w:rFonts w:ascii="Calibri" w:hAnsi="Calibri"/>
          <w:b/>
          <w:color w:val="525866"/>
          <w:sz w:val="22"/>
        </w:rPr>
        <w:t xml:space="preserve">Relevance Window: </w:t>
      </w:r>
      <w:r>
        <w:rPr>
          <w:rFonts w:ascii="Calibri" w:hAnsi="Calibri"/>
          <w:color w:val="525866"/>
          <w:sz w:val="22"/>
        </w:rPr>
        <w:t>Commentary about 2Q 2026 and beyond, with focus on Mexico and Latin America. Disclosed May 6, 2026 (within 60-day window).</w:t>
      </w:r>
    </w:p>
    <w:p>
      <w:pPr>
        <w:pStyle w:val="ListBullet"/>
        <w:ind w:left="360" w:hanging="360"/>
      </w:pPr>
      <w:r>
        <w:rPr>
          <w:rFonts w:ascii="Calibri" w:hAnsi="Calibri"/>
          <w:color w:val="525866"/>
          <w:sz w:val="22"/>
        </w:rPr>
        <w:t>Mexico Demand (</w:t>
      </w:r>
      <w:r>
        <w:rPr>
          <w:rFonts w:ascii="Calibri" w:hAnsi="Calibri"/>
          <w:b/>
          <w:color w:val="525866"/>
          <w:sz w:val="22"/>
        </w:rPr>
        <w:t>Relevant</w:t>
      </w:r>
      <w:r>
        <w:rPr>
          <w:rFonts w:ascii="Calibri" w:hAnsi="Calibri"/>
          <w:color w:val="525866"/>
          <w:sz w:val="22"/>
        </w:rPr>
        <w:t xml:space="preserve">): </w:t>
      </w:r>
      <w:r>
        <w:rPr>
          <w:rFonts w:ascii="Calibri" w:hAnsi="Calibri"/>
          <w:color w:val="525866"/>
          <w:sz w:val="22"/>
        </w:rPr>
        <w:t>Ternium expects volumes in Mexico to "continue improving in the second quarter, driven mainly by the commercial market." Destocking that occurred across the value chain in 2025 is giving way to demand normalization. World Steel projects Mexican demand to grow ~4% in 2026. Relevant to STLD’s Mexican operations.</w:t>
      </w:r>
    </w:p>
    <w:p>
      <w:pPr>
        <w:pStyle w:val="ListBullet"/>
        <w:ind w:left="360" w:hanging="360"/>
      </w:pPr>
      <w:r>
        <w:rPr>
          <w:rFonts w:ascii="Calibri" w:hAnsi="Calibri"/>
          <w:color w:val="525866"/>
          <w:sz w:val="22"/>
        </w:rPr>
        <w:t>Pricing (</w:t>
      </w:r>
      <w:r>
        <w:rPr>
          <w:rFonts w:ascii="Calibri" w:hAnsi="Calibri"/>
          <w:b/>
          <w:color w:val="525866"/>
          <w:sz w:val="22"/>
        </w:rPr>
        <w:t>Relevant</w:t>
      </w:r>
      <w:r>
        <w:rPr>
          <w:rFonts w:ascii="Calibri" w:hAnsi="Calibri"/>
          <w:color w:val="525866"/>
          <w:sz w:val="22"/>
        </w:rPr>
        <w:t xml:space="preserve">): </w:t>
      </w:r>
      <w:r>
        <w:rPr>
          <w:rFonts w:ascii="Calibri" w:hAnsi="Calibri"/>
          <w:i/>
          <w:color w:val="525866"/>
          <w:sz w:val="22"/>
        </w:rPr>
        <w:t>"Prices, as it has been in most of steel products, has been increasing recently."</w:t>
      </w:r>
      <w:r>
        <w:rPr>
          <w:rFonts w:ascii="Calibri" w:hAnsi="Calibri"/>
          <w:color w:val="525866"/>
          <w:sz w:val="22"/>
        </w:rPr>
        <w:t xml:space="preserve"> CEO Maximo Vedoya noted global price momentum: </w:t>
      </w:r>
      <w:r>
        <w:rPr>
          <w:rFonts w:ascii="Calibri" w:hAnsi="Calibri"/>
          <w:i/>
          <w:color w:val="525866"/>
          <w:sz w:val="22"/>
        </w:rPr>
        <w:t>"the good momentum, I think it’s everywhere. You see in Europe, prices increasing. You see in Brazil. You even see in China, prices increasing."</w:t>
      </w:r>
      <w:r>
        <w:rPr>
          <w:rFonts w:ascii="Calibri" w:hAnsi="Calibri"/>
          <w:color w:val="525866"/>
          <w:sz w:val="22"/>
        </w:rPr>
        <w:t xml:space="preserve"> Supports the global steel pricing tailwind benefiting STLD.</w:t>
      </w:r>
    </w:p>
    <w:p>
      <w:pPr>
        <w:pStyle w:val="ListBullet"/>
        <w:ind w:left="360" w:hanging="360"/>
      </w:pPr>
      <w:r>
        <w:rPr>
          <w:rFonts w:ascii="Calibri" w:hAnsi="Calibri"/>
          <w:color w:val="525866"/>
          <w:sz w:val="22"/>
        </w:rPr>
        <w:t>USMCA &amp; Trade Policy (</w:t>
      </w:r>
      <w:r>
        <w:rPr>
          <w:rFonts w:ascii="Calibri" w:hAnsi="Calibri"/>
          <w:b/>
          <w:color w:val="525866"/>
          <w:sz w:val="22"/>
        </w:rPr>
        <w:t>Relevant</w:t>
      </w:r>
      <w:r>
        <w:rPr>
          <w:rFonts w:ascii="Calibri" w:hAnsi="Calibri"/>
          <w:color w:val="525866"/>
          <w:sz w:val="22"/>
        </w:rPr>
        <w:t xml:space="preserve">): </w:t>
      </w:r>
      <w:r>
        <w:rPr>
          <w:rFonts w:ascii="Calibri" w:hAnsi="Calibri"/>
          <w:color w:val="525866"/>
          <w:sz w:val="22"/>
        </w:rPr>
        <w:t>Ternium expects a U.S.–Mexico trade deal, likely with stricter rules of origin, which would benefit North American steel producers including STLD. Mexican government proactively launching initiatives to strengthen domestic steel consumption and reduce Asian imports. Formal USMCA revision discussions began May 25, 2026.</w:t>
      </w:r>
    </w:p>
    <w:p>
      <w:pPr>
        <w:pStyle w:val="ListBullet"/>
        <w:ind w:left="360" w:hanging="360"/>
      </w:pPr>
      <w:r>
        <w:rPr>
          <w:rFonts w:ascii="Calibri" w:hAnsi="Calibri"/>
          <w:color w:val="525866"/>
          <w:sz w:val="22"/>
        </w:rPr>
        <w:t>Import Pressure (</w:t>
      </w:r>
      <w:r>
        <w:rPr>
          <w:rFonts w:ascii="Calibri" w:hAnsi="Calibri"/>
          <w:b/>
          <w:color w:val="525866"/>
          <w:sz w:val="22"/>
        </w:rPr>
        <w:t>Relevant</w:t>
      </w:r>
      <w:r>
        <w:rPr>
          <w:rFonts w:ascii="Calibri" w:hAnsi="Calibri"/>
          <w:color w:val="525866"/>
          <w:sz w:val="22"/>
        </w:rPr>
        <w:t xml:space="preserve">): </w:t>
      </w:r>
      <w:r>
        <w:rPr>
          <w:rFonts w:ascii="Calibri" w:hAnsi="Calibri"/>
          <w:color w:val="525866"/>
          <w:sz w:val="22"/>
        </w:rPr>
        <w:t>Import pressure from Southeast Asia (South Korea, Vietnam) elevated due to China oversupply spillover. Brazilian inventory of imported material expected to normalize by 2H 2026. A reminder that global trade flows remain a risk factor, though U.S. Section 232 provides meaningful protection.</w:t>
      </w:r>
    </w:p>
    <w:p>
      <w:r>
        <w:rPr>
          <w:rFonts w:ascii="Calibri" w:hAnsi="Calibri"/>
          <w:b/>
          <w:color w:val="525866"/>
          <w:sz w:val="22"/>
        </w:rPr>
        <w:t xml:space="preserve">Read-Through Summary: </w:t>
      </w:r>
      <w:r>
        <w:rPr>
          <w:rFonts w:ascii="Calibri" w:hAnsi="Calibri"/>
          <w:color w:val="525866"/>
          <w:sz w:val="22"/>
        </w:rPr>
        <w:t>The peer commentary mosaic is unambiguously positive for STLD’s 2Q 2026 steel operations — expanding metal margins, strong demand across key end markets (data centers, infrastructure, energy, automotive), record backlogs, and declining imports are all corroborated by multiple peers. The CMC June 25 commentary is the most timely and directly relevant, confirming that pricing and margin momentum was intact through the end of June. The aluminum read-through is less direct (no pure-play aluminum peer reported), but the 50% tariff on aluminum imports and the domestic supply deficit of &gt;1.4 million tons remain structural tailwinds.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June 17 formal 2Q guidance issuance</w:t>
      </w:r>
      <w:r>
        <w:rPr>
          <w:rFonts w:ascii="Calibri" w:hAnsi="Calibri"/>
          <w:color w:val="525866"/>
          <w:sz w:val="22"/>
        </w:rPr>
        <w:t xml:space="preserve"> (including the Arizona-to-Mississippi satellite slab center relocation and $16M write-down), which reset near-term estimates but confirmed the aluminum ramp is on track and the steel business is firing on all cylinders.</w:t>
      </w:r>
    </w:p>
    <w:p>
      <w:pPr>
        <w:pStyle w:val="ListBullet"/>
        <w:ind w:left="360" w:hanging="360"/>
      </w:pPr>
      <w:r>
        <w:rPr>
          <w:rFonts w:ascii="Calibri" w:hAnsi="Calibri"/>
          <w:b/>
          <w:color w:val="525866"/>
          <w:sz w:val="22"/>
        </w:rPr>
        <w:t xml:space="preserve">June 17–18, 2026 — 2Q 2026 Earnings Guidance Issued (8-K/EX-99.1): </w:t>
      </w:r>
      <w:r>
        <w:rPr>
          <w:rFonts w:ascii="Calibri" w:hAnsi="Calibri"/>
          <w:color w:val="525866"/>
          <w:sz w:val="22"/>
        </w:rPr>
        <w:t xml:space="preserve">STLD guided 2Q EPS to $3.51–$3.55, including a $16M write-down from the decision to relocate the planned second satellite aluminum recycled slab center from Arizona to Columbus, Mississippi, after differences with Arizona state officials risked construction and operations. </w:t>
      </w:r>
      <w:r>
        <w:rPr>
          <w:rFonts w:ascii="Calibri" w:hAnsi="Calibri"/>
          <w:i/>
          <w:color w:val="525866"/>
          <w:sz w:val="22"/>
        </w:rPr>
        <w:t xml:space="preserve">Implication: </w:t>
      </w:r>
      <w:r>
        <w:rPr>
          <w:rFonts w:ascii="Calibri" w:hAnsi="Calibri"/>
          <w:color w:val="525866"/>
          <w:sz w:val="22"/>
        </w:rPr>
        <w:t>The write-down is a one-time item; the underlying operational guidance is constructive. The Mississippi relocation is strategically sound (proximity to the Columbus aluminum mill). The guidance range itself is below the then-consensus of ~$4.00+, triggering the estimate reset.</w:t>
      </w:r>
    </w:p>
    <w:p>
      <w:pPr>
        <w:pStyle w:val="ListBullet"/>
        <w:ind w:left="360" w:hanging="360"/>
      </w:pPr>
      <w:r>
        <w:rPr>
          <w:rFonts w:ascii="Calibri" w:hAnsi="Calibri"/>
          <w:b/>
          <w:color w:val="525866"/>
          <w:sz w:val="22"/>
        </w:rPr>
        <w:t xml:space="preserve">June 17, 2026 — Aluminum Mill Progress Update (embedded in guidance): </w:t>
      </w:r>
      <w:r>
        <w:rPr>
          <w:rFonts w:ascii="Calibri" w:hAnsi="Calibri"/>
          <w:color w:val="525866"/>
          <w:sz w:val="22"/>
        </w:rPr>
        <w:t xml:space="preserve">Two of three cold mills now operational; third cold mill expected to begin qualifying material in July 2026. First CASH line operational and shipping material for automotive customer qualification. Second CASH line expected to begin qualifications in 4Q 2026. </w:t>
      </w:r>
      <w:r>
        <w:rPr>
          <w:rFonts w:ascii="Calibri" w:hAnsi="Calibri"/>
          <w:i/>
          <w:color w:val="525866"/>
          <w:sz w:val="22"/>
        </w:rPr>
        <w:t xml:space="preserve">Implication: </w:t>
      </w:r>
      <w:r>
        <w:rPr>
          <w:rFonts w:ascii="Calibri" w:hAnsi="Calibri"/>
          <w:color w:val="525866"/>
          <w:sz w:val="22"/>
        </w:rPr>
        <w:t>The commissioning timeline is tracking to plan. The automotive qualification milestone (CASH line 1) is a significant de-risking event for the long-term revenue mix target (35% automotive by 2027).</w:t>
      </w:r>
    </w:p>
    <w:p>
      <w:pPr>
        <w:pStyle w:val="ListBullet"/>
        <w:ind w:left="360" w:hanging="360"/>
      </w:pPr>
      <w:r>
        <w:rPr>
          <w:rFonts w:ascii="Calibri" w:hAnsi="Calibri"/>
          <w:b/>
          <w:color w:val="525866"/>
          <w:sz w:val="22"/>
        </w:rPr>
        <w:t xml:space="preserve">May 8, 2026 — Annual Shareholder Meeting (8-K): </w:t>
      </w:r>
      <w:r>
        <w:rPr>
          <w:rFonts w:ascii="Calibri" w:hAnsi="Calibri"/>
          <w:color w:val="525866"/>
          <w:sz w:val="22"/>
        </w:rPr>
        <w:t xml:space="preserve">STLD shareholders elected directors and rejected a political spending proposal. </w:t>
      </w:r>
      <w:r>
        <w:rPr>
          <w:rFonts w:ascii="Calibri" w:hAnsi="Calibri"/>
          <w:i/>
          <w:color w:val="525866"/>
          <w:sz w:val="22"/>
        </w:rPr>
        <w:t xml:space="preserve">Implication: </w:t>
      </w:r>
      <w:r>
        <w:rPr>
          <w:rFonts w:ascii="Calibri" w:hAnsi="Calibri"/>
          <w:color w:val="525866"/>
          <w:sz w:val="22"/>
        </w:rPr>
        <w:t>Routine governance event; no material impact on operations or strategy.</w:t>
      </w:r>
    </w:p>
    <w:p>
      <w:pPr>
        <w:pStyle w:val="ListBullet"/>
        <w:ind w:left="360" w:hanging="360"/>
      </w:pPr>
      <w:r>
        <w:rPr>
          <w:rFonts w:ascii="Calibri" w:hAnsi="Calibri"/>
          <w:b/>
          <w:color w:val="525866"/>
          <w:sz w:val="22"/>
        </w:rPr>
        <w:t xml:space="preserve">May 8, 2026 — Dividend Announcement (8-K EX-99.1): </w:t>
      </w:r>
      <w:r>
        <w:rPr>
          <w:rFonts w:ascii="Calibri" w:hAnsi="Calibri"/>
          <w:color w:val="525866"/>
          <w:sz w:val="22"/>
        </w:rPr>
        <w:t xml:space="preserve">Quarterly cash dividend declared. The dividend was increased 6% in 1Q 2026 ($72M paid in 1Q). </w:t>
      </w:r>
      <w:r>
        <w:rPr>
          <w:rFonts w:ascii="Calibri" w:hAnsi="Calibri"/>
          <w:i/>
          <w:color w:val="525866"/>
          <w:sz w:val="22"/>
        </w:rPr>
        <w:t xml:space="preserve">Implication: </w:t>
      </w:r>
      <w:r>
        <w:rPr>
          <w:rFonts w:ascii="Calibri" w:hAnsi="Calibri"/>
          <w:color w:val="525866"/>
          <w:sz w:val="22"/>
        </w:rPr>
        <w:t>Consistent with management’s progressive dividend policy; signals confidence in cash generation.</w:t>
      </w:r>
    </w:p>
    <w:p>
      <w:pPr>
        <w:pStyle w:val="ListBullet"/>
        <w:ind w:left="360" w:hanging="360"/>
      </w:pPr>
      <w:r>
        <w:rPr>
          <w:rFonts w:ascii="Calibri" w:hAnsi="Calibri"/>
          <w:b/>
          <w:color w:val="525866"/>
          <w:sz w:val="22"/>
        </w:rPr>
        <w:t xml:space="preserve">April 21, 2026 — Q1 2026 Earnings: Record Steel Shipments, Aluminum Setback Resolved: </w:t>
      </w:r>
      <w:r>
        <w:rPr>
          <w:rFonts w:ascii="Calibri" w:hAnsi="Calibri"/>
          <w:color w:val="525866"/>
          <w:sz w:val="22"/>
        </w:rPr>
        <w:t xml:space="preserve">Record 3.6M ton steel shipments; aluminum operating loss of $65M due to January quality/practice issue (now resolved); $115M buyback in Q1; $170M buyback so far in 2Q. </w:t>
      </w:r>
      <w:r>
        <w:rPr>
          <w:rFonts w:ascii="Calibri" w:hAnsi="Calibri"/>
          <w:i/>
          <w:color w:val="525866"/>
          <w:sz w:val="22"/>
        </w:rPr>
        <w:t xml:space="preserve">Implication: </w:t>
      </w:r>
      <w:r>
        <w:rPr>
          <w:rFonts w:ascii="Calibri" w:hAnsi="Calibri"/>
          <w:color w:val="525866"/>
          <w:sz w:val="22"/>
        </w:rPr>
        <w:t>The aluminum January issue was a one-time event; the rapid recovery and 3x shipment ramp guidance for 2Q is the key positive signal. Buyback pace ($170M in 2Q to date) signals management confidence.</w:t>
      </w:r>
    </w:p>
    <w:p>
      <w:pPr>
        <w:pStyle w:val="ListBullet"/>
        <w:ind w:left="360" w:hanging="360"/>
      </w:pPr>
      <w:r>
        <w:rPr>
          <w:rFonts w:ascii="Calibri" w:hAnsi="Calibri"/>
          <w:b/>
          <w:color w:val="525866"/>
          <w:sz w:val="22"/>
        </w:rPr>
        <w:t xml:space="preserve">Ongoing — Trade Policy &amp; Section 232 Tariffs: </w:t>
      </w:r>
      <w:r>
        <w:rPr>
          <w:rFonts w:ascii="Calibri" w:hAnsi="Calibri"/>
          <w:color w:val="525866"/>
          <w:sz w:val="22"/>
        </w:rPr>
        <w:t xml:space="preserve">50% Section 232 tariffs on steel and aluminum imports reaffirmed; derivative product tariff enforcement strengthened (full value basis). Import share of U.S. steel market at ~15%, lowest in decades. Aluminum imports subject to 50% tariffs, supporting domestic aluminum pricing. </w:t>
      </w:r>
      <w:r>
        <w:rPr>
          <w:rFonts w:ascii="Calibri" w:hAnsi="Calibri"/>
          <w:i/>
          <w:color w:val="525866"/>
          <w:sz w:val="22"/>
        </w:rPr>
        <w:t xml:space="preserve">Implication: </w:t>
      </w:r>
      <w:r>
        <w:rPr>
          <w:rFonts w:ascii="Calibri" w:hAnsi="Calibri"/>
          <w:color w:val="525866"/>
          <w:sz w:val="22"/>
        </w:rPr>
        <w:t>Structural tailwind for both STLD’s steel and aluminum businesses. The trade policy environment is the most favorable in decades for domestic producers.</w:t>
      </w:r>
    </w:p>
    <w:p>
      <w:pPr>
        <w:pStyle w:val="ListBullet"/>
        <w:ind w:left="360" w:hanging="360"/>
      </w:pPr>
      <w:r>
        <w:rPr>
          <w:rFonts w:ascii="Calibri" w:hAnsi="Calibri"/>
          <w:b/>
          <w:color w:val="525866"/>
          <w:sz w:val="22"/>
        </w:rPr>
        <w:t xml:space="preserve">Ongoing — BlueScope M&amp;A Pursuit (Stalled): </w:t>
      </w:r>
      <w:r>
        <w:rPr>
          <w:rFonts w:ascii="Calibri" w:hAnsi="Calibri"/>
          <w:color w:val="525866"/>
          <w:sz w:val="22"/>
        </w:rPr>
        <w:t xml:space="preserve">STLD’s joint "best and final" offer with SGH for BlueScope was rejected in February 2026 with no constructive engagement since. </w:t>
      </w:r>
      <w:r>
        <w:rPr>
          <w:rFonts w:ascii="Calibri" w:hAnsi="Calibri"/>
          <w:i/>
          <w:color w:val="525866"/>
          <w:sz w:val="22"/>
        </w:rPr>
        <w:t xml:space="preserve">Implication: </w:t>
      </w:r>
      <w:r>
        <w:rPr>
          <w:rFonts w:ascii="Calibri" w:hAnsi="Calibri"/>
          <w:color w:val="525866"/>
          <w:sz w:val="22"/>
        </w:rPr>
        <w:t>M&amp;A optionality remains but is not a near-term catalyst. Management has signaled a broad pipeline of organic growth opportunities in both steel and aluminum as the primary capital deployment focus.</w:t>
      </w:r>
    </w:p>
    <w:p>
      <w:pPr>
        <w:pStyle w:val="ListBullet"/>
        <w:ind w:left="360" w:hanging="360"/>
      </w:pPr>
      <w:r>
        <w:rPr>
          <w:rFonts w:ascii="Calibri" w:hAnsi="Calibri"/>
          <w:b/>
          <w:color w:val="525866"/>
          <w:sz w:val="22"/>
        </w:rPr>
        <w:t xml:space="preserve">Ongoing — Aluminum Market Structural Tailwinds: </w:t>
      </w:r>
      <w:r>
        <w:rPr>
          <w:rFonts w:ascii="Calibri" w:hAnsi="Calibri"/>
          <w:color w:val="525866"/>
          <w:sz w:val="22"/>
        </w:rPr>
        <w:t xml:space="preserve">Domestic aluminum sheet supply deficit of &gt;1.4 million tons (per STLD management); 50% tariffs on aluminum imports; Iran war disruptions impacting global aluminum supply chains. </w:t>
      </w:r>
      <w:r>
        <w:rPr>
          <w:rFonts w:ascii="Calibri" w:hAnsi="Calibri"/>
          <w:i/>
          <w:color w:val="525866"/>
          <w:sz w:val="22"/>
        </w:rPr>
        <w:t xml:space="preserve">Implication: </w:t>
      </w:r>
      <w:r>
        <w:rPr>
          <w:rFonts w:ascii="Calibri" w:hAnsi="Calibri"/>
          <w:color w:val="525866"/>
          <w:sz w:val="22"/>
        </w:rPr>
        <w:t>STLD is entering the aluminum market at a structurally favorable moment. Management has signaled current aluminum spreads are above through-cycle model assumptions and may revise the $650–$700M through-cycle EBITDA target upward.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the Q1 print consists of </w:t>
      </w:r>
      <w:r>
        <w:rPr>
          <w:rFonts w:ascii="Calibri" w:hAnsi="Calibri"/>
          <w:b/>
          <w:color w:val="525866"/>
          <w:sz w:val="22"/>
        </w:rPr>
        <w:t>open-market sales by SVPs and one director</w:t>
      </w:r>
      <w:r>
        <w:rPr>
          <w:rFonts w:ascii="Calibri" w:hAnsi="Calibri"/>
          <w:color w:val="525866"/>
          <w:sz w:val="22"/>
        </w:rPr>
        <w:t xml:space="preserve"> — no open-market buys. The sales are modest in size relative to holdings and appear to be routine profit-taking at elevated prices (stock was trading $225–$270 during the transaction window), not a bearish signal. No 10b5-1 plan designations were flagged.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Shares Remaining</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Anderson, James Stanley</w:t>
            </w:r>
          </w:p>
        </w:tc>
        <w:tc>
          <w:tcPr>
            <w:tcW w:type="dxa" w:w="1234"/>
          </w:tcPr>
          <w:p>
            <w:r>
              <w:rPr>
                <w:rFonts w:ascii="Calibri" w:hAnsi="Calibri"/>
                <w:sz w:val="22"/>
              </w:rPr>
              <w:t>Senior Vice President</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June 5, 2026</w:t>
            </w:r>
          </w:p>
        </w:tc>
        <w:tc>
          <w:tcPr>
            <w:tcW w:type="dxa" w:w="1234"/>
          </w:tcPr>
          <w:p>
            <w:r>
              <w:rPr>
                <w:rFonts w:ascii="Calibri" w:hAnsi="Calibri"/>
                <w:sz w:val="22"/>
              </w:rPr>
              <w:t>102,837</w:t>
            </w:r>
          </w:p>
        </w:tc>
        <w:tc>
          <w:tcPr>
            <w:tcW w:type="dxa" w:w="1234"/>
          </w:tcPr>
          <w:p>
            <w:r>
              <w:rPr>
                <w:rFonts w:ascii="Calibri" w:hAnsi="Calibri"/>
                <w:sz w:val="22"/>
              </w:rPr>
              <w:t>Discretionary; ~8.9% of holdings sold; stock near $268–$270 range</w:t>
            </w:r>
          </w:p>
        </w:tc>
      </w:tr>
      <w:tr>
        <w:tc>
          <w:tcPr>
            <w:tcW w:type="dxa" w:w="1234"/>
          </w:tcPr>
          <w:p>
            <w:r>
              <w:rPr>
                <w:rFonts w:ascii="Calibri" w:hAnsi="Calibri"/>
                <w:sz w:val="22"/>
              </w:rPr>
              <w:t>Graham, Christopher A.</w:t>
            </w:r>
          </w:p>
        </w:tc>
        <w:tc>
          <w:tcPr>
            <w:tcW w:type="dxa" w:w="1234"/>
          </w:tcPr>
          <w:p>
            <w:r>
              <w:rPr>
                <w:rFonts w:ascii="Calibri" w:hAnsi="Calibri"/>
                <w:sz w:val="22"/>
              </w:rPr>
              <w:t>Senior Vice President</w:t>
            </w:r>
          </w:p>
        </w:tc>
        <w:tc>
          <w:tcPr>
            <w:tcW w:type="dxa" w:w="1234"/>
          </w:tcPr>
          <w:p>
            <w:r>
              <w:rPr>
                <w:rFonts w:ascii="Calibri" w:hAnsi="Calibri"/>
                <w:sz w:val="22"/>
              </w:rPr>
              <w:t>Open Market Sale</w:t>
            </w:r>
          </w:p>
        </w:tc>
        <w:tc>
          <w:tcPr>
            <w:tcW w:type="dxa" w:w="1234"/>
          </w:tcPr>
          <w:p>
            <w:r>
              <w:rPr>
                <w:rFonts w:ascii="Calibri" w:hAnsi="Calibri"/>
                <w:sz w:val="22"/>
              </w:rPr>
              <w:t>9,000</w:t>
            </w:r>
          </w:p>
        </w:tc>
        <w:tc>
          <w:tcPr>
            <w:tcW w:type="dxa" w:w="1234"/>
          </w:tcPr>
          <w:p>
            <w:r>
              <w:rPr>
                <w:rFonts w:ascii="Calibri" w:hAnsi="Calibri"/>
                <w:sz w:val="22"/>
              </w:rPr>
              <w:t>May 13, 2026</w:t>
            </w:r>
          </w:p>
        </w:tc>
        <w:tc>
          <w:tcPr>
            <w:tcW w:type="dxa" w:w="1234"/>
          </w:tcPr>
          <w:p>
            <w:r>
              <w:rPr>
                <w:rFonts w:ascii="Calibri" w:hAnsi="Calibri"/>
                <w:sz w:val="22"/>
              </w:rPr>
              <w:t>68,747</w:t>
            </w:r>
          </w:p>
        </w:tc>
        <w:tc>
          <w:tcPr>
            <w:tcW w:type="dxa" w:w="1234"/>
          </w:tcPr>
          <w:p>
            <w:r>
              <w:rPr>
                <w:rFonts w:ascii="Calibri" w:hAnsi="Calibri"/>
                <w:sz w:val="22"/>
              </w:rPr>
              <w:t>Discretionary; ~11.6% of holdings sold; stock near $232–$237 range</w:t>
            </w:r>
          </w:p>
        </w:tc>
      </w:tr>
      <w:tr>
        <w:tc>
          <w:tcPr>
            <w:tcW w:type="dxa" w:w="1234"/>
          </w:tcPr>
          <w:p>
            <w:r>
              <w:rPr>
                <w:rFonts w:ascii="Calibri" w:hAnsi="Calibri"/>
                <w:sz w:val="22"/>
              </w:rPr>
              <w:t>Poinsatte, Richard A.</w:t>
            </w:r>
          </w:p>
        </w:tc>
        <w:tc>
          <w:tcPr>
            <w:tcW w:type="dxa" w:w="1234"/>
          </w:tcPr>
          <w:p>
            <w:r>
              <w:rPr>
                <w:rFonts w:ascii="Calibri" w:hAnsi="Calibri"/>
                <w:sz w:val="22"/>
              </w:rPr>
              <w:t>Senior Vice President</w:t>
            </w:r>
          </w:p>
        </w:tc>
        <w:tc>
          <w:tcPr>
            <w:tcW w:type="dxa" w:w="1234"/>
          </w:tcPr>
          <w:p>
            <w:r>
              <w:rPr>
                <w:rFonts w:ascii="Calibri" w:hAnsi="Calibri"/>
                <w:sz w:val="22"/>
              </w:rPr>
              <w:t>Open Market Sale</w:t>
            </w:r>
          </w:p>
        </w:tc>
        <w:tc>
          <w:tcPr>
            <w:tcW w:type="dxa" w:w="1234"/>
          </w:tcPr>
          <w:p>
            <w:r>
              <w:rPr>
                <w:rFonts w:ascii="Calibri" w:hAnsi="Calibri"/>
                <w:sz w:val="22"/>
              </w:rPr>
              <w:t>2,300</w:t>
            </w:r>
          </w:p>
        </w:tc>
        <w:tc>
          <w:tcPr>
            <w:tcW w:type="dxa" w:w="1234"/>
          </w:tcPr>
          <w:p>
            <w:r>
              <w:rPr>
                <w:rFonts w:ascii="Calibri" w:hAnsi="Calibri"/>
                <w:sz w:val="22"/>
              </w:rPr>
              <w:t>May 12, 2026</w:t>
            </w:r>
          </w:p>
        </w:tc>
        <w:tc>
          <w:tcPr>
            <w:tcW w:type="dxa" w:w="1234"/>
          </w:tcPr>
          <w:p>
            <w:r>
              <w:rPr>
                <w:rFonts w:ascii="Calibri" w:hAnsi="Calibri"/>
                <w:sz w:val="22"/>
              </w:rPr>
              <w:t>28,618</w:t>
            </w:r>
          </w:p>
        </w:tc>
        <w:tc>
          <w:tcPr>
            <w:tcW w:type="dxa" w:w="1234"/>
          </w:tcPr>
          <w:p>
            <w:r>
              <w:rPr>
                <w:rFonts w:ascii="Calibri" w:hAnsi="Calibri"/>
                <w:sz w:val="22"/>
              </w:rPr>
              <w:t>Discretionary; ~7.4% of holdings sold; stock near $232–$237 range</w:t>
            </w:r>
          </w:p>
        </w:tc>
      </w:tr>
      <w:tr>
        <w:tc>
          <w:tcPr>
            <w:tcW w:type="dxa" w:w="1234"/>
          </w:tcPr>
          <w:p>
            <w:r>
              <w:rPr>
                <w:rFonts w:ascii="Calibri" w:hAnsi="Calibri"/>
                <w:sz w:val="22"/>
              </w:rPr>
              <w:t>Alvarez, Miguel</w:t>
            </w:r>
          </w:p>
        </w:tc>
        <w:tc>
          <w:tcPr>
            <w:tcW w:type="dxa" w:w="1234"/>
          </w:tcPr>
          <w:p>
            <w:r>
              <w:rPr>
                <w:rFonts w:ascii="Calibri" w:hAnsi="Calibri"/>
                <w:sz w:val="22"/>
              </w:rPr>
              <w:t>Senior Vice President</w:t>
            </w:r>
          </w:p>
        </w:tc>
        <w:tc>
          <w:tcPr>
            <w:tcW w:type="dxa" w:w="1234"/>
          </w:tcPr>
          <w:p>
            <w:r>
              <w:rPr>
                <w:rFonts w:ascii="Calibri" w:hAnsi="Calibri"/>
                <w:sz w:val="22"/>
              </w:rPr>
              <w:t>Open Market Sale</w:t>
            </w:r>
          </w:p>
        </w:tc>
        <w:tc>
          <w:tcPr>
            <w:tcW w:type="dxa" w:w="1234"/>
          </w:tcPr>
          <w:p>
            <w:r>
              <w:rPr>
                <w:rFonts w:ascii="Calibri" w:hAnsi="Calibri"/>
                <w:sz w:val="22"/>
              </w:rPr>
              <w:t>4,825</w:t>
            </w:r>
          </w:p>
        </w:tc>
        <w:tc>
          <w:tcPr>
            <w:tcW w:type="dxa" w:w="1234"/>
          </w:tcPr>
          <w:p>
            <w:r>
              <w:rPr>
                <w:rFonts w:ascii="Calibri" w:hAnsi="Calibri"/>
                <w:sz w:val="22"/>
              </w:rPr>
              <w:t>April 23, 2026</w:t>
            </w:r>
          </w:p>
        </w:tc>
        <w:tc>
          <w:tcPr>
            <w:tcW w:type="dxa" w:w="1234"/>
          </w:tcPr>
          <w:p>
            <w:r>
              <w:rPr>
                <w:rFonts w:ascii="Calibri" w:hAnsi="Calibri"/>
                <w:sz w:val="22"/>
              </w:rPr>
              <w:t>122,257</w:t>
            </w:r>
          </w:p>
        </w:tc>
        <w:tc>
          <w:tcPr>
            <w:tcW w:type="dxa" w:w="1234"/>
          </w:tcPr>
          <w:p>
            <w:r>
              <w:rPr>
                <w:rFonts w:ascii="Calibri" w:hAnsi="Calibri"/>
                <w:sz w:val="22"/>
              </w:rPr>
              <w:t>Discretionary; ~3.8% of holdings sold; stock near $225 range</w:t>
            </w:r>
          </w:p>
        </w:tc>
      </w:tr>
      <w:tr>
        <w:tc>
          <w:tcPr>
            <w:tcW w:type="dxa" w:w="1234"/>
          </w:tcPr>
          <w:p>
            <w:r>
              <w:rPr>
                <w:rFonts w:ascii="Calibri" w:hAnsi="Calibri"/>
                <w:sz w:val="22"/>
              </w:rPr>
              <w:t>Cornew, Kenneth W.</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April 23, 2026</w:t>
            </w:r>
          </w:p>
        </w:tc>
        <w:tc>
          <w:tcPr>
            <w:tcW w:type="dxa" w:w="1234"/>
          </w:tcPr>
          <w:p>
            <w:r>
              <w:rPr>
                <w:rFonts w:ascii="Calibri" w:hAnsi="Calibri"/>
                <w:sz w:val="22"/>
              </w:rPr>
              <w:t>31,299</w:t>
            </w:r>
          </w:p>
        </w:tc>
        <w:tc>
          <w:tcPr>
            <w:tcW w:type="dxa" w:w="1234"/>
          </w:tcPr>
          <w:p>
            <w:r>
              <w:rPr>
                <w:rFonts w:ascii="Calibri" w:hAnsi="Calibri"/>
                <w:sz w:val="22"/>
              </w:rPr>
              <w:t>Discretionary; ~13.8% of holdings sold; stock near $225 range</w:t>
            </w:r>
          </w:p>
        </w:tc>
      </w:tr>
    </w:tbl>
    <w:p>
      <w:r>
        <w:rPr>
          <w:rFonts w:ascii="Calibri" w:hAnsi="Calibri"/>
          <w:b/>
          <w:color w:val="525866"/>
          <w:sz w:val="22"/>
        </w:rPr>
        <w:t xml:space="preserve">Assessment: </w:t>
      </w:r>
      <w:r>
        <w:rPr>
          <w:rFonts w:ascii="Calibri" w:hAnsi="Calibri"/>
          <w:color w:val="525866"/>
          <w:sz w:val="22"/>
        </w:rPr>
        <w:t>Five insiders sold shares between April 23 and June 5, 2026, all at prices ranging from ~$225 to ~$270 — well above the current ~$235 level. None of the transactions were flagged as 10b5-1 planned sales. The sales are spread across multiple SVPs and one director, suggesting routine diversification rather than a coordinated bearish signal. The absence of any open-market buys is notable but not alarming given the stock’s significant appreciation (+85% over 12 months). The company itself has been the most active buyer, repurchasing $115M in 1Q and $170M so far in 2Q.</w:t>
      </w:r>
    </w:p>
    <w:p>
      <w:r>
        <w:rPr>
          <w:rFonts w:ascii="Calibri" w:hAnsi="Calibri"/>
          <w:i/>
          <w:color w:val="525866"/>
          <w:sz w:val="22"/>
        </w:rPr>
        <w:t>Source: SEC Form 4 Filings Database (Insider Transaction Data).</w:t>
      </w:r>
    </w:p>
    <w:p>
      <w:r>
        <w:br w:type="page"/>
      </w:r>
    </w:p>
    <w:p>
      <w:pPr>
        <w:pStyle w:val="Heading2"/>
      </w:pPr>
      <w:r>
        <w:rPr>
          <w:rFonts w:ascii="Calibri" w:hAnsi="Calibri"/>
          <w:b/>
          <w:color w:val="3B4259"/>
          <w:sz w:val="28"/>
        </w:rPr>
        <w:t>9. Key Risks &amp; What Matters on the Call</w:t>
      </w:r>
    </w:p>
    <w:p>
      <w:r>
        <w:rPr>
          <w:rFonts w:ascii="Calibri" w:hAnsi="Calibri"/>
          <w:b/>
          <w:color w:val="525866"/>
          <w:sz w:val="22"/>
        </w:rPr>
        <w:t xml:space="preserve">Key Takeaway: </w:t>
      </w:r>
      <w:r>
        <w:rPr>
          <w:rFonts w:ascii="Calibri" w:hAnsi="Calibri"/>
          <w:color w:val="525866"/>
          <w:sz w:val="22"/>
        </w:rPr>
        <w:t xml:space="preserve">The bull case is well-telegraphed; the risks are execution-specific (aluminum ramp) and macro (steel pricing durability, import resurgence). The call will be dominated by </w:t>
      </w:r>
      <w:r>
        <w:rPr>
          <w:rFonts w:ascii="Calibri" w:hAnsi="Calibri"/>
          <w:b/>
          <w:color w:val="525866"/>
          <w:sz w:val="22"/>
        </w:rPr>
        <w:t>aluminum shipment actuals vs. the 60–70 KT guidance</w:t>
      </w:r>
      <w:r>
        <w:rPr>
          <w:rFonts w:ascii="Calibri" w:hAnsi="Calibri"/>
          <w:color w:val="525866"/>
          <w:sz w:val="22"/>
        </w:rPr>
        <w:t xml:space="preserve"> and any update to the through-cycle EBITDA target.</w:t>
      </w:r>
    </w:p>
    <w:p>
      <w:pPr>
        <w:pStyle w:val="Heading3"/>
      </w:pPr>
      <w:r>
        <w:rPr>
          <w:rFonts w:ascii="Calibri" w:hAnsi="Calibri"/>
          <w:b/>
          <w:color w:val="3B4259"/>
          <w:sz w:val="24"/>
        </w:rPr>
        <w:t>Key Risks</w:t>
      </w:r>
    </w:p>
    <w:p>
      <w:pPr>
        <w:pStyle w:val="ListBullet"/>
        <w:ind w:left="360" w:hanging="360"/>
      </w:pPr>
      <w:r>
        <w:rPr>
          <w:rFonts w:ascii="Calibri" w:hAnsi="Calibri"/>
          <w:color w:val="525866"/>
          <w:sz w:val="22"/>
        </w:rPr>
        <w:t>Aluminum Ramp Execution Risk (</w:t>
      </w:r>
      <w:r>
        <w:rPr>
          <w:rFonts w:ascii="Calibri" w:hAnsi="Calibri"/>
          <w:b/>
          <w:color w:val="525866"/>
          <w:sz w:val="22"/>
        </w:rPr>
        <w:t>Primary Risk</w:t>
      </w:r>
      <w:r>
        <w:rPr>
          <w:rFonts w:ascii="Calibri" w:hAnsi="Calibri"/>
          <w:color w:val="525866"/>
          <w:sz w:val="22"/>
        </w:rPr>
        <w:t xml:space="preserve">): </w:t>
      </w:r>
      <w:r>
        <w:rPr>
          <w:rFonts w:ascii="Calibri" w:hAnsi="Calibri"/>
          <w:color w:val="525866"/>
          <w:sz w:val="22"/>
        </w:rPr>
        <w:t>The January quality/practice issue demonstrated that the aluminum ramp is not linear. If 2Q shipments come in below the 60–70 KT guidance range or if EBITDA is still negative (consensus is only $7M), the market will question the through-cycle thesis. A second operational hiccup would be a significant negative catalyst.</w:t>
      </w:r>
    </w:p>
    <w:p>
      <w:pPr>
        <w:pStyle w:val="ListBullet"/>
        <w:ind w:left="360" w:hanging="360"/>
      </w:pPr>
      <w:r>
        <w:rPr>
          <w:rFonts w:ascii="Calibri" w:hAnsi="Calibri"/>
          <w:b/>
          <w:color w:val="525866"/>
          <w:sz w:val="22"/>
        </w:rPr>
        <w:t xml:space="preserve">Steel Pricing Durability: </w:t>
      </w:r>
      <w:r>
        <w:rPr>
          <w:rFonts w:ascii="Calibri" w:hAnsi="Calibri"/>
          <w:color w:val="525866"/>
          <w:sz w:val="22"/>
        </w:rPr>
        <w:t>HRC spot is above $1,000/ton and STLD’s lagging contract book (75–80% of flat-rolled) means 2Q benefits from 1Q price increases. The risk is whether 3Q pricing holds — any softening in spot prices or a pickup in imports (particularly from South Korea, per CMC commentary) could pressure 2H estimates.</w:t>
      </w:r>
    </w:p>
    <w:p>
      <w:pPr>
        <w:pStyle w:val="ListBullet"/>
        <w:ind w:left="360" w:hanging="360"/>
      </w:pPr>
      <w:r>
        <w:rPr>
          <w:rFonts w:ascii="Calibri" w:hAnsi="Calibri"/>
          <w:b/>
          <w:color w:val="525866"/>
          <w:sz w:val="22"/>
        </w:rPr>
        <w:t xml:space="preserve">Import Resurgence: </w:t>
      </w:r>
      <w:r>
        <w:rPr>
          <w:rFonts w:ascii="Calibri" w:hAnsi="Calibri"/>
          <w:color w:val="525866"/>
          <w:sz w:val="22"/>
        </w:rPr>
        <w:t>While imports are at multi-decade lows (~15% market share), any weakening of Section 232 enforcement, trade deal concessions (e.g., USMCA renegotiation), or surge from South Korea/Vietnam could disrupt the domestic pricing environment.</w:t>
      </w:r>
    </w:p>
    <w:p>
      <w:pPr>
        <w:pStyle w:val="ListBullet"/>
        <w:ind w:left="360" w:hanging="360"/>
      </w:pPr>
      <w:r>
        <w:rPr>
          <w:rFonts w:ascii="Calibri" w:hAnsi="Calibri"/>
          <w:b/>
          <w:color w:val="525866"/>
          <w:sz w:val="22"/>
        </w:rPr>
        <w:t xml:space="preserve">Scrap Cost Inflation: </w:t>
      </w:r>
      <w:r>
        <w:rPr>
          <w:rFonts w:ascii="Calibri" w:hAnsi="Calibri"/>
          <w:color w:val="525866"/>
          <w:sz w:val="22"/>
        </w:rPr>
        <w:t>Scrap costs increased $22/ton sequentially in 1Q 2026. If scrap continues to rise faster than steel prices, metal spreads could compress. STLD’s integrated recycling platform (Omnisource) provides some mitigation.</w:t>
      </w:r>
    </w:p>
    <w:p>
      <w:pPr>
        <w:pStyle w:val="ListBullet"/>
        <w:ind w:left="360" w:hanging="360"/>
      </w:pPr>
      <w:r>
        <w:rPr>
          <w:rFonts w:ascii="Calibri" w:hAnsi="Calibri"/>
          <w:b/>
          <w:color w:val="525866"/>
          <w:sz w:val="22"/>
        </w:rPr>
        <w:t xml:space="preserve">Aluminum-to-Steel Substitution: </w:t>
      </w:r>
      <w:r>
        <w:rPr>
          <w:rFonts w:ascii="Calibri" w:hAnsi="Calibri"/>
          <w:color w:val="525866"/>
          <w:sz w:val="22"/>
        </w:rPr>
        <w:t>CLF’s commentary on unprecedented aluminum-to-steel substitution momentum is a long-term risk for STLD’s aluminum business, though management has not flagged this as a near-term concern and the domestic supply deficit remains large.</w:t>
      </w:r>
    </w:p>
    <w:p>
      <w:pPr>
        <w:pStyle w:val="ListBullet"/>
        <w:ind w:left="360" w:hanging="360"/>
      </w:pPr>
      <w:r>
        <w:rPr>
          <w:rFonts w:ascii="Calibri" w:hAnsi="Calibri"/>
          <w:b/>
          <w:color w:val="525866"/>
          <w:sz w:val="22"/>
        </w:rPr>
        <w:t xml:space="preserve">Arizona Satellite Slab Center Relocation: </w:t>
      </w:r>
      <w:r>
        <w:rPr>
          <w:rFonts w:ascii="Calibri" w:hAnsi="Calibri"/>
          <w:color w:val="525866"/>
          <w:sz w:val="22"/>
        </w:rPr>
        <w:t>The $16M write-down and relocation to Mississippi adds execution complexity and potential delays to the aluminum recycling supply chain buildout. The Mississippi site needs to be permitted, constructed, and commissioned.</w:t>
      </w:r>
    </w:p>
    <w:p>
      <w:pPr>
        <w:pStyle w:val="ListBullet"/>
        <w:ind w:left="360" w:hanging="360"/>
      </w:pPr>
      <w:r>
        <w:rPr>
          <w:rFonts w:ascii="Calibri" w:hAnsi="Calibri"/>
          <w:b/>
          <w:color w:val="525866"/>
          <w:sz w:val="22"/>
        </w:rPr>
        <w:t xml:space="preserve">BlueScope M&amp;A Uncertainty: </w:t>
      </w:r>
      <w:r>
        <w:rPr>
          <w:rFonts w:ascii="Calibri" w:hAnsi="Calibri"/>
          <w:color w:val="525866"/>
          <w:sz w:val="22"/>
        </w:rPr>
        <w:t>The stalled BlueScope pursuit leaves M&amp;A strategy in limbo. If STLD pursues another large acquisition, it could pressure the balance sheet and distract from the aluminum ramp.</w:t>
      </w:r>
    </w:p>
    <w:p>
      <w:pPr>
        <w:pStyle w:val="Heading3"/>
      </w:pPr>
      <w:r>
        <w:rPr>
          <w:rFonts w:ascii="Calibri" w:hAnsi="Calibri"/>
          <w:b/>
          <w:color w:val="3B4259"/>
          <w:sz w:val="24"/>
        </w:rPr>
        <w:t>What Matters on the Call (July 21, 2026)</w:t>
      </w:r>
    </w:p>
    <w:p>
      <w:pPr>
        <w:pStyle w:val="ListNumber"/>
        <w:ind w:left="360" w:hanging="360"/>
      </w:pPr>
      <w:r>
        <w:rPr>
          <w:rFonts w:ascii="Calibri" w:hAnsi="Calibri"/>
          <w:b/>
          <w:color w:val="525866"/>
          <w:sz w:val="22"/>
        </w:rPr>
        <w:t xml:space="preserve">Aluminum Shipment Actuals vs. 60–70 KT Guidance: </w:t>
      </w:r>
      <w:r>
        <w:rPr>
          <w:rFonts w:ascii="Calibri" w:hAnsi="Calibri"/>
          <w:color w:val="525866"/>
          <w:sz w:val="22"/>
        </w:rPr>
        <w:t>The single most important data point. If shipments are at or above the high end of guidance (70 KT), it validates the ramp trajectory and sets up a strong 2H. If below 60 KT, expect a selloff.</w:t>
      </w:r>
    </w:p>
    <w:p>
      <w:pPr>
        <w:pStyle w:val="ListNumber"/>
        <w:ind w:left="360" w:hanging="360"/>
      </w:pPr>
      <w:r>
        <w:rPr>
          <w:rFonts w:ascii="Calibri" w:hAnsi="Calibri"/>
          <w:b/>
          <w:color w:val="525866"/>
          <w:sz w:val="22"/>
        </w:rPr>
        <w:t xml:space="preserve">Aluminum EBITDA Trajectory &amp; Through-Cycle Target Update: </w:t>
      </w:r>
      <w:r>
        <w:rPr>
          <w:rFonts w:ascii="Calibri" w:hAnsi="Calibri"/>
          <w:color w:val="525866"/>
          <w:sz w:val="22"/>
        </w:rPr>
        <w:t>Management signaled on the Q1 call that current aluminum spreads are above through-cycle model assumptions and hinted at a potential upward revision to the $650–$700M target. Any formal revision or incremental color on this would be a significant positive catalyst.</w:t>
      </w:r>
    </w:p>
    <w:p>
      <w:pPr>
        <w:pStyle w:val="ListNumber"/>
        <w:ind w:left="360" w:hanging="360"/>
      </w:pPr>
      <w:r>
        <w:rPr>
          <w:rFonts w:ascii="Calibri" w:hAnsi="Calibri"/>
          <w:b/>
          <w:color w:val="525866"/>
          <w:sz w:val="22"/>
        </w:rPr>
        <w:t xml:space="preserve">3Q 2026 Steel Operations Outlook: </w:t>
      </w:r>
      <w:r>
        <w:rPr>
          <w:rFonts w:ascii="Calibri" w:hAnsi="Calibri"/>
          <w:color w:val="525866"/>
          <w:sz w:val="22"/>
        </w:rPr>
        <w:t>With HRC spot above $1,000/ton and the lagging contract book, 3Q should benefit from 2Q price increases. Management’s tone on 3Q steel profitability will set the trajectory for 2H estimates.</w:t>
      </w:r>
    </w:p>
    <w:p>
      <w:pPr>
        <w:pStyle w:val="ListNumber"/>
        <w:ind w:left="360" w:hanging="360"/>
      </w:pPr>
      <w:r>
        <w:rPr>
          <w:rFonts w:ascii="Calibri" w:hAnsi="Calibri"/>
          <w:b/>
          <w:color w:val="525866"/>
          <w:sz w:val="22"/>
        </w:rPr>
        <w:t xml:space="preserve">CASH Line 1 Automotive Qualification Progress: </w:t>
      </w:r>
      <w:r>
        <w:rPr>
          <w:rFonts w:ascii="Calibri" w:hAnsi="Calibri"/>
          <w:color w:val="525866"/>
          <w:sz w:val="22"/>
        </w:rPr>
        <w:t>Management guided on the Q1 call that automotive finished product qualifications could come "in the coming weeks." An update on the number of qualifications received and the timeline to commercial automotive shipments is critical for the long-term revenue mix story.</w:t>
      </w:r>
    </w:p>
    <w:p>
      <w:pPr>
        <w:pStyle w:val="ListNumber"/>
        <w:ind w:left="360" w:hanging="360"/>
      </w:pPr>
      <w:r>
        <w:rPr>
          <w:rFonts w:ascii="Calibri" w:hAnsi="Calibri"/>
          <w:b/>
          <w:color w:val="525866"/>
          <w:sz w:val="22"/>
        </w:rPr>
        <w:t xml:space="preserve">Capital Allocation Update: </w:t>
      </w:r>
      <w:r>
        <w:rPr>
          <w:rFonts w:ascii="Calibri" w:hAnsi="Calibri"/>
          <w:color w:val="525866"/>
          <w:sz w:val="22"/>
        </w:rPr>
        <w:t>With $170M in buybacks already in 2Q and CapEx declining, the pace of shareholder returns in 2H 2026 will be a key focus. Any update on the remaining buyback authorization and dividend trajectory.</w:t>
      </w:r>
    </w:p>
    <w:p>
      <w:pPr>
        <w:pStyle w:val="ListNumber"/>
        <w:ind w:left="360" w:hanging="360"/>
      </w:pPr>
      <w:r>
        <w:rPr>
          <w:rFonts w:ascii="Calibri" w:hAnsi="Calibri"/>
          <w:b/>
          <w:color w:val="525866"/>
          <w:sz w:val="22"/>
        </w:rPr>
        <w:t xml:space="preserve">BlueScope / M&amp;A Pipeline: </w:t>
      </w:r>
      <w:r>
        <w:rPr>
          <w:rFonts w:ascii="Calibri" w:hAnsi="Calibri"/>
          <w:color w:val="525866"/>
          <w:sz w:val="22"/>
        </w:rPr>
        <w:t>Any update on the BlueScope situation or other M&amp;A opportunities. Management has signaled a broad organic growth pipeline — any new project announcements would be closely watched.</w:t>
      </w:r>
    </w:p>
    <w:p>
      <w:pPr>
        <w:pStyle w:val="ListNumber"/>
        <w:ind w:left="360" w:hanging="360"/>
      </w:pPr>
      <w:r>
        <w:rPr>
          <w:rFonts w:ascii="Calibri" w:hAnsi="Calibri"/>
          <w:b/>
          <w:color w:val="525866"/>
          <w:sz w:val="22"/>
        </w:rPr>
        <w:t xml:space="preserve">Trade Policy &amp; Import Outlook: </w:t>
      </w:r>
      <w:r>
        <w:rPr>
          <w:rFonts w:ascii="Calibri" w:hAnsi="Calibri"/>
          <w:color w:val="525866"/>
          <w:sz w:val="22"/>
        </w:rPr>
        <w:t>Management’s view on the sustainability of the current import environment and any USMCA/Section 232 developments that could affect the competitive landscape.</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EPS (Diluted Operating), Net Sales, EBITDA, Steel Sales Volume, Aluminum Shipments, Aluminum EBITDA, Free Cash Flow: https://insights.visiblealpha.com/mex/STLD/NMV/IS | /RV | /SG | /CF</w:t>
      </w:r>
    </w:p>
    <w:p>
      <w:pPr>
        <w:pStyle w:val="ListBullet"/>
        <w:ind w:left="360" w:hanging="360"/>
      </w:pPr>
      <w:r>
        <w:rPr>
          <w:rFonts w:ascii="Calibri" w:hAnsi="Calibri"/>
          <w:b/>
          <w:color w:val="525866"/>
          <w:sz w:val="22"/>
        </w:rPr>
        <w:t>Steel Dynamics 2Q 2026 Earnings Guidance</w:t>
      </w:r>
      <w:r>
        <w:rPr>
          <w:rFonts w:ascii="Calibri" w:hAnsi="Calibri"/>
          <w:color w:val="525866"/>
          <w:sz w:val="22"/>
        </w:rPr>
        <w:t xml:space="preserve"> — 8-K and EX-99.1 filed June 17–18, 2026 (SEC EDGAR)</w:t>
      </w:r>
    </w:p>
    <w:p>
      <w:pPr>
        <w:pStyle w:val="ListBullet"/>
        <w:ind w:left="360" w:hanging="360"/>
      </w:pPr>
      <w:r>
        <w:rPr>
          <w:rFonts w:ascii="Calibri" w:hAnsi="Calibri"/>
          <w:b/>
          <w:color w:val="525866"/>
          <w:sz w:val="22"/>
        </w:rPr>
        <w:t>Steel Dynamics 1Q 2026 Earnings Release</w:t>
      </w:r>
      <w:r>
        <w:rPr>
          <w:rFonts w:ascii="Calibri" w:hAnsi="Calibri"/>
          <w:color w:val="525866"/>
          <w:sz w:val="22"/>
        </w:rPr>
        <w:t xml:space="preserve"> — Filed April 21, 2026</w:t>
      </w:r>
    </w:p>
    <w:p>
      <w:pPr>
        <w:pStyle w:val="ListBullet"/>
        <w:ind w:left="360" w:hanging="360"/>
      </w:pPr>
      <w:r>
        <w:rPr>
          <w:rFonts w:ascii="Calibri" w:hAnsi="Calibri"/>
          <w:b/>
          <w:color w:val="525866"/>
          <w:sz w:val="22"/>
        </w:rPr>
        <w:t>Steel Dynamics 1Q 2026 Earnings Call Transcript</w:t>
      </w:r>
      <w:r>
        <w:rPr>
          <w:rFonts w:ascii="Calibri" w:hAnsi="Calibri"/>
          <w:color w:val="525866"/>
          <w:sz w:val="22"/>
        </w:rPr>
        <w:t xml:space="preserve"> — April 21, 2026</w:t>
      </w:r>
    </w:p>
    <w:p>
      <w:pPr>
        <w:pStyle w:val="ListBullet"/>
        <w:ind w:left="360" w:hanging="360"/>
      </w:pPr>
      <w:r>
        <w:rPr>
          <w:rFonts w:ascii="Calibri" w:hAnsi="Calibri"/>
          <w:b/>
          <w:color w:val="525866"/>
          <w:sz w:val="22"/>
        </w:rPr>
        <w:t>Nucor 1Q 2026 Earnings Call Transcript</w:t>
      </w:r>
      <w:r>
        <w:rPr>
          <w:rFonts w:ascii="Calibri" w:hAnsi="Calibri"/>
          <w:color w:val="525866"/>
          <w:sz w:val="22"/>
        </w:rPr>
        <w:t xml:space="preserve"> — April 28, 2026</w:t>
      </w:r>
    </w:p>
    <w:p>
      <w:pPr>
        <w:pStyle w:val="ListBullet"/>
        <w:ind w:left="360" w:hanging="360"/>
      </w:pPr>
      <w:r>
        <w:rPr>
          <w:rFonts w:ascii="Calibri" w:hAnsi="Calibri"/>
          <w:b/>
          <w:color w:val="525866"/>
          <w:sz w:val="22"/>
        </w:rPr>
        <w:t>Cleveland-Cliffs 1Q 2026 Earnings Call Transcript</w:t>
      </w:r>
      <w:r>
        <w:rPr>
          <w:rFonts w:ascii="Calibri" w:hAnsi="Calibri"/>
          <w:color w:val="525866"/>
          <w:sz w:val="22"/>
        </w:rPr>
        <w:t xml:space="preserve"> — April 20, 2026</w:t>
      </w:r>
    </w:p>
    <w:p>
      <w:pPr>
        <w:pStyle w:val="ListBullet"/>
        <w:ind w:left="360" w:hanging="360"/>
      </w:pPr>
      <w:r>
        <w:rPr>
          <w:rFonts w:ascii="Calibri" w:hAnsi="Calibri"/>
          <w:b/>
          <w:color w:val="525866"/>
          <w:sz w:val="22"/>
        </w:rPr>
        <w:t>Commercial Metals Company 3Q FY2026 Earnings Call Transcript</w:t>
      </w:r>
      <w:r>
        <w:rPr>
          <w:rFonts w:ascii="Calibri" w:hAnsi="Calibri"/>
          <w:color w:val="525866"/>
          <w:sz w:val="22"/>
        </w:rPr>
        <w:t xml:space="preserve"> — June 25, 2026</w:t>
      </w:r>
    </w:p>
    <w:p>
      <w:pPr>
        <w:pStyle w:val="ListBullet"/>
        <w:ind w:left="360" w:hanging="360"/>
      </w:pPr>
      <w:r>
        <w:rPr>
          <w:rFonts w:ascii="Calibri" w:hAnsi="Calibri"/>
          <w:b/>
          <w:color w:val="525866"/>
          <w:sz w:val="22"/>
        </w:rPr>
        <w:t>Ternium 1Q 2026 Earnings Call Transcript</w:t>
      </w:r>
      <w:r>
        <w:rPr>
          <w:rFonts w:ascii="Calibri" w:hAnsi="Calibri"/>
          <w:color w:val="525866"/>
          <w:sz w:val="22"/>
        </w:rPr>
        <w:t xml:space="preserve"> — May 6, 2026</w:t>
      </w:r>
    </w:p>
    <w:p>
      <w:pPr>
        <w:pStyle w:val="ListBullet"/>
        <w:ind w:left="360" w:hanging="360"/>
      </w:pPr>
      <w:r>
        <w:rPr>
          <w:rFonts w:ascii="Calibri" w:hAnsi="Calibri"/>
          <w:b/>
          <w:color w:val="525866"/>
          <w:sz w:val="22"/>
        </w:rPr>
        <w:t>SEC Form 4 Insider Transaction Data</w:t>
      </w:r>
      <w:r>
        <w:rPr>
          <w:rFonts w:ascii="Calibri" w:hAnsi="Calibri"/>
          <w:color w:val="525866"/>
          <w:sz w:val="22"/>
        </w:rPr>
        <w:t xml:space="preserve"> — https://www.sec.gov/ (Anderson, Graham, Poinsatte, Alvarez, Cornew filings, April–June 2026)</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(STLD, SLX, SPY; April 20 – July 17, 2026)</w:t>
      </w:r>
    </w:p>
    <w:p>
      <w:pPr>
        <w:pStyle w:val="ListBullet"/>
        <w:ind w:left="360" w:hanging="360"/>
      </w:pPr>
      <w:r>
        <w:rPr>
          <w:rFonts w:ascii="Calibri" w:hAnsi="Calibri"/>
          <w:b/>
          <w:color w:val="525866"/>
          <w:sz w:val="22"/>
        </w:rPr>
        <w:t>Stock Performance Decomposition</w:t>
      </w:r>
      <w:r>
        <w:rPr>
          <w:rFonts w:ascii="Calibri" w:hAnsi="Calibri"/>
          <w:color w:val="525866"/>
          <w:sz w:val="22"/>
        </w:rPr>
        <w:t xml:space="preserve"> — Implied / Visible Alpha (NTM EV/EBITDA multiples, snapshot July 17, 2026)</w:t>
      </w:r>
    </w:p>
    <w:p>
      <w:pPr>
        <w:pStyle w:val="ListBullet"/>
        <w:ind w:left="360" w:hanging="360"/>
      </w:pPr>
      <w:r>
        <w:rPr>
          <w:rFonts w:ascii="Calibri" w:hAnsi="Calibri"/>
          <w:b/>
          <w:color w:val="525866"/>
          <w:sz w:val="22"/>
        </w:rPr>
        <w:t>Upcoming Corporate Events</w:t>
      </w:r>
      <w:r>
        <w:rPr>
          <w:rFonts w:ascii="Calibri" w:hAnsi="Calibri"/>
          <w:color w:val="525866"/>
          <w:sz w:val="22"/>
        </w:rPr>
        <w:t xml:space="preserve"> — Implied Internal Database (2Q 2026 Earnings Call confirmed July 21, 2026, 11:00 AM ET)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