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yf-earnings-predictions--2026-07-21"/>
    <w:p>
      <w:pPr>
        <w:pStyle w:val="Heading1"/>
      </w:pPr>
      <w:r>
        <w:t xml:space="preserve">SYF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~$2.15 vs. cons $2.01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charge-off rate (Q2 2026, seasonal peak)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~5.45% vs. cons ~5.65% (lower/better)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~$4.68B vs. cons $4.67B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~$9.10-9.50 (midpoint $9.30) vs. cons $9.34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NCO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~&lt;5.5% vs. cons ~5.5%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Period-end loan receivables growth / H2 re-acceleration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~+low-to-mid-single-digit exiting 2026 vs. cons ~+1-2%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RSA (% of avg receivables)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~4.0-4.5% vs. cons ~4.1%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(buyback pace + $0.34 dividend)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~$900M/qtr buyback +</w:t>
            </w:r>
            <w:r>
              <w:t xml:space="preserve"> </w:t>
            </w:r>
            <m:oMath>
              <m:r>
                <m:t>0.34</m:t>
              </m:r>
              <m:r>
                <m:t>d</m:t>
              </m:r>
              <m:r>
                <m:t>i</m:t>
              </m:r>
              <m:r>
                <m:t>v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800M/qtr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 modest EPS beat plus improving credit (NCO below the tough Q2'25 5.70% comp), reaffirmed $9.10-9.50 guide, dividend hike and heavy buyback should drive a relief rally day-1 given the stock is still recovering from the July 8 sector-wide consumer-credit scare. But follow-through is capped: the headline is still down ~20% YoY, rising RSA shares credit upside with partners, and out-quarter estimates already embed the decline, so post-print revisions are flat-to-slightly-down. With the consumer/oil-inflation macro overhang unresolved, the initial pop partially fades over 5 days rather than compounds.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2026-07-21T00:07:35Z</dcterms:created>
  <dcterms:modified xsi:type="dcterms:W3CDTF">2026-07-21T00:07:35Z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