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SYF to build a thorough earnings preview. Let me start by gathering recent filings, transcripts, and news.Let me read the most recent earnings materials and check recent news and stock performance.Let me get the Q1 earnings release details, stock price performance, and the recent leadership change news.There was a notable ~10% single-day drop in SYF on 2026-07-08. Let me investigate that and gather consensus estimates and the leadership change details.I have strong consensus data. Let me quickly investigate the sector-wide July 8 selloff.I have enough to write a comprehensive preview. Let me compile the key data points.</w:t>
      </w:r>
    </w:p>
    <w:bookmarkStart w:id="24" w:name="X77360cfae101b34a5fdc240f0733e4e017d714d"/>
    <w:p>
      <w:pPr>
        <w:pStyle w:val="Heading1"/>
      </w:pPr>
      <w:r>
        <w:t xml:space="preserve">Synchrony Financial (SYF) — Q2 2026 Earnings Preview</w:t>
      </w:r>
    </w:p>
    <w:bookmarkStart w:id="9" w:name="Xe9bcc9b483ef5eec4257eae43cca430c09bbed7"/>
    <w:p>
      <w:pPr>
        <w:pStyle w:val="Heading3"/>
      </w:pPr>
      <w:r>
        <w:t xml:space="preserve">Reporting Tuesday, July 21, 2026 (~6:00 a.m. ET release; 8:00 a.m. ET call)</w:t>
      </w:r>
    </w:p>
    <w:p>
      <w:r>
        <w:pict>
          <v:rect style="width:0;height:1.5pt" o:hralign="center" o:hrstd="t" o:hr="t"/>
        </w:pict>
      </w:r>
    </w:p>
    <w:bookmarkEnd w:id="9"/>
    <w:bookmarkStart w:id="10" w:name="the-setup-in-one-line"/>
    <w:p>
      <w:pPr>
        <w:pStyle w:val="Heading2"/>
      </w:pPr>
      <w:r>
        <w:t xml:space="preserve">The Setup in One Line</w:t>
      </w:r>
    </w:p>
    <w:p>
      <w:pPr>
        <w:pStyle w:val="FirstParagraph"/>
      </w:pPr>
      <w:r>
        <w:t xml:space="preserve">SYF heads into Q2 with genuinely strong underlying fundamentals — record purchase volume momentum, improving credit, expanding NIM, and aggressive capital return — yet the reported headline will show an</w:t>
      </w:r>
      <w:r>
        <w:t xml:space="preserve"> </w:t>
      </w:r>
      <w:r>
        <w:rPr>
          <w:b/>
          <w:bCs/>
        </w:rPr>
        <w:t xml:space="preserve">optical year-over-year EPS decline</w:t>
      </w:r>
      <w:r>
        <w:t xml:space="preserve"> </w:t>
      </w:r>
      <w:r>
        <w:t xml:space="preserve">against a very tough comp, and the stock is caught in a fresh "is-the-consumer-cracking" scare. The debate on the call will be less about the print and more about consumer resilience and the second-half growth acceleration.</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YoY</w:t>
            </w:r>
          </w:p>
        </w:tc>
      </w:tr>
      <w:tr>
        <w:tc>
          <w:tcPr/>
          <w:p>
            <w:pPr>
              <w:pStyle w:val="Compact"/>
            </w:pPr>
            <w:r>
              <w:t xml:space="preserve">Diluted EPS</w:t>
            </w:r>
          </w:p>
        </w:tc>
        <w:tc>
          <w:tcPr/>
          <w:p>
            <w:pPr>
              <w:pStyle w:val="Compact"/>
            </w:pPr>
            <w:r>
              <w:t xml:space="preserve">~$2.00–2.02</w:t>
            </w:r>
          </w:p>
        </w:tc>
        <w:tc>
          <w:tcPr/>
          <w:p>
            <w:pPr>
              <w:pStyle w:val="Compact"/>
            </w:pPr>
            <w:r>
              <w:t xml:space="preserve">$2.50</w:t>
            </w:r>
          </w:p>
        </w:tc>
        <w:tc>
          <w:tcPr/>
          <w:p>
            <w:pPr>
              <w:pStyle w:val="Compact"/>
            </w:pPr>
            <w:r>
              <w:rPr>
                <w:b/>
                <w:bCs/>
              </w:rPr>
              <w:t xml:space="preserve">~ -19% to -20%</w:t>
            </w:r>
          </w:p>
        </w:tc>
      </w:tr>
      <w:tr>
        <w:tc>
          <w:tcPr/>
          <w:p>
            <w:pPr>
              <w:pStyle w:val="Compact"/>
            </w:pPr>
            <w:r>
              <w:t xml:space="preserve">Revenue (net)</w:t>
            </w:r>
          </w:p>
        </w:tc>
        <w:tc>
          <w:tcPr/>
          <w:p>
            <w:pPr>
              <w:pStyle w:val="Compact"/>
            </w:pPr>
            <w:r>
              <w:t xml:space="preserve">~$4.67B</w:t>
            </w:r>
          </w:p>
        </w:tc>
        <w:tc>
          <w:tcPr/>
          <w:p>
            <w:pPr>
              <w:pStyle w:val="Compact"/>
            </w:pPr>
            <w:r>
              <w:t xml:space="preserve">$4.52B (NII)</w:t>
            </w:r>
          </w:p>
        </w:tc>
        <w:tc>
          <w:tcPr/>
          <w:p>
            <w:pPr>
              <w:pStyle w:val="Compact"/>
            </w:pPr>
            <w:r>
              <w:t xml:space="preserve">~ +3–5%</w:t>
            </w:r>
          </w:p>
        </w:tc>
      </w:tr>
      <w:tr>
        <w:tc>
          <w:tcPr/>
          <w:p>
            <w:pPr>
              <w:pStyle w:val="Compact"/>
            </w:pPr>
            <w:r>
              <w:t xml:space="preserve">Net interest margin</w:t>
            </w:r>
          </w:p>
        </w:tc>
        <w:tc>
          <w:tcPr/>
          <w:p>
            <w:pPr>
              <w:pStyle w:val="Compact"/>
            </w:pPr>
            <w:r>
              <w:t xml:space="preserve">~15.31%</w:t>
            </w:r>
          </w:p>
        </w:tc>
        <w:tc>
          <w:tcPr/>
          <w:p>
            <w:pPr>
              <w:pStyle w:val="Compact"/>
            </w:pPr>
            <w:r>
              <w:t xml:space="preserve">14.78%</w:t>
            </w:r>
          </w:p>
        </w:tc>
        <w:tc>
          <w:tcPr/>
          <w:p>
            <w:pPr>
              <w:pStyle w:val="Compact"/>
            </w:pPr>
            <w:r>
              <w:t xml:space="preserve">+53 bps</w:t>
            </w:r>
          </w:p>
        </w:tc>
      </w:tr>
      <w:tr>
        <w:tc>
          <w:tcPr/>
          <w:p>
            <w:pPr>
              <w:pStyle w:val="Compact"/>
            </w:pPr>
            <w:r>
              <w:t xml:space="preserve">Purchase volume</w:t>
            </w:r>
          </w:p>
        </w:tc>
        <w:tc>
          <w:tcPr/>
          <w:p>
            <w:pPr>
              <w:pStyle w:val="Compact"/>
            </w:pPr>
            <w:r>
              <w:t xml:space="preserve">+~5.1% YoY</w:t>
            </w:r>
          </w:p>
        </w:tc>
        <w:tc>
          <w:tcPr/>
          <w:p>
            <w:pPr>
              <w:pStyle w:val="Compact"/>
            </w:pPr>
            <w:r>
              <w:t xml:space="preserve">$46.1B</w:t>
            </w:r>
          </w:p>
        </w:tc>
        <w:tc>
          <w:tcPr/>
          <w:p>
            <w:pPr>
              <w:pStyle w:val="Compact"/>
            </w:pPr>
            <w:r>
              <w:t xml:space="preserve">growth</w:t>
            </w:r>
          </w:p>
        </w:tc>
      </w:tr>
    </w:tbl>
    <w:p>
      <w:pPr>
        <w:pStyle w:val="BodyText"/>
      </w:pPr>
      <w:r>
        <w:t xml:space="preserve">The Zacks Consensus Estimate for the to-be-reported quarter's earnings is pegged at $2.02 per share on revenues of $4.67 billion; the second-quarter earnings estimate has witnessed no upward revision and three downward movements over the past 30 days, and the bottom-line projection indicates a year-over-year decrease of 19.2% while revenue implies year-over-year growth of 3.4%. Ahead of the release, Wall Street expects earnings of $2.00 per share, marking a 20% decline from the year-ago quarter.</w:t>
      </w:r>
    </w:p>
    <w:p>
      <w:pPr>
        <w:pStyle w:val="BodyText"/>
      </w:pPr>
      <w:r>
        <w:rPr>
          <w:b/>
          <w:bCs/>
        </w:rPr>
        <w:t xml:space="preserve">Full-year context:</w:t>
      </w:r>
      <w:r>
        <w:t xml:space="preserve"> </w:t>
      </w:r>
      <w:r>
        <w:t xml:space="preserve">Analysts forecast full-year fiscal 2026 EPS of $9.34, a slight decline from the previous year, with earnings then returning to growth in fiscal 2027, projected to climb 11.9% to $10.45. That</w:t>
      </w:r>
      <w:r>
        <w:t xml:space="preserve"> </w:t>
      </w:r>
      <m:oMath>
        <m:r>
          <m:t>9.34</m:t>
        </m:r>
        <m:r>
          <m:t>s</m:t>
        </m:r>
        <m:r>
          <m:t>i</m:t>
        </m:r>
        <m:r>
          <m:t>t</m:t>
        </m:r>
        <m:r>
          <m:t>s</m:t>
        </m:r>
        <m:r>
          <m:t>c</m:t>
        </m:r>
        <m:r>
          <m:t>o</m:t>
        </m:r>
        <m:r>
          <m:t>m</m:t>
        </m:r>
        <m:r>
          <m:t>f</m:t>
        </m:r>
        <m:r>
          <m:t>o</m:t>
        </m:r>
        <m:r>
          <m:t>r</m:t>
        </m:r>
        <m:r>
          <m:t>t</m:t>
        </m:r>
        <m:r>
          <m:t>a</m:t>
        </m:r>
        <m:r>
          <m:t>b</m:t>
        </m:r>
        <m:r>
          <m:t>l</m:t>
        </m:r>
        <m:r>
          <m:t>y</m:t>
        </m:r>
        <m:r>
          <m:t>i</m:t>
        </m:r>
        <m:r>
          <m:t>n</m:t>
        </m:r>
        <m:r>
          <m:t>s</m:t>
        </m:r>
        <m:r>
          <m:t>i</m:t>
        </m:r>
        <m:r>
          <m:t>d</m:t>
        </m:r>
        <m:r>
          <m:t>e</m:t>
        </m:r>
        <m:r>
          <m:t>m</m:t>
        </m:r>
        <m:r>
          <m:t>a</m:t>
        </m:r>
        <m:r>
          <m:t>n</m:t>
        </m:r>
        <m:r>
          <m:t>a</m:t>
        </m:r>
        <m:r>
          <m:t>g</m:t>
        </m:r>
        <m:r>
          <m:t>e</m:t>
        </m:r>
        <m:r>
          <m:t>m</m:t>
        </m:r>
        <m:r>
          <m:t>e</m:t>
        </m:r>
        <m:r>
          <m:t>n</m:t>
        </m:r>
        <m:sSup>
          <m:e>
            <m:r>
              <m:t>t</m:t>
            </m:r>
          </m:e>
          <m:sup>
            <m:r>
              <m:rPr>
                <m:sty m:val="p"/>
              </m:rPr>
              <m:t>′</m:t>
            </m:r>
          </m:sup>
        </m:sSup>
        <m:r>
          <m:t>s</m:t>
        </m:r>
        <m:r>
          <m:t>g</m:t>
        </m:r>
        <m:r>
          <m:t>u</m:t>
        </m:r>
        <m:r>
          <m:t>i</m:t>
        </m:r>
        <m:r>
          <m:t>d</m:t>
        </m:r>
        <m:r>
          <m:t>e</m:t>
        </m:r>
        <m:r>
          <m:t>d</m:t>
        </m:r>
        <m:r>
          <m:rPr>
            <m:sty m:val="p"/>
          </m:rPr>
          <m:t>*</m:t>
        </m:r>
        <m:r>
          <m:rPr>
            <m:sty m:val="p"/>
          </m:rPr>
          <m:t>*</m:t>
        </m:r>
      </m:oMath>
      <w:r>
        <w:t xml:space="preserve">9.10–$9.50** range.</w:t>
      </w:r>
    </w:p>
    <w:p>
      <w:pPr>
        <w:pStyle w:val="BodyText"/>
      </w:pPr>
      <w:r>
        <w:rPr>
          <w:b/>
          <w:bCs/>
        </w:rPr>
        <w:t xml:space="preserve">Track record:</w:t>
      </w:r>
      <w:r>
        <w:t xml:space="preserve"> </w:t>
      </w:r>
      <w:r>
        <w:t xml:space="preserve">SYF's earnings beat the consensus estimate in three of the last four quarters and met once, with the average surprise being 20.7%. Last quarter it beat handily —</w:t>
      </w:r>
      <w:r>
        <w:t xml:space="preserve"> </w:t>
      </w:r>
      <m:oMath>
        <m:r>
          <m:t>2.27</m:t>
        </m:r>
        <m:r>
          <m:t>v</m:t>
        </m:r>
        <m:r>
          <m:t>s</m:t>
        </m:r>
        <m:r>
          <m:rPr>
            <m:sty m:val="p"/>
          </m:rPr>
          <m:t>.</m:t>
        </m:r>
        <m:r>
          <m:t>a</m:t>
        </m:r>
        <m:r>
          <m:t> </m:t>
        </m:r>
      </m:oMath>
      <w:r>
        <w:t xml:space="preserve">2.14 consensus.</w:t>
      </w:r>
    </w:p>
    <w:p>
      <w:r>
        <w:pict>
          <v:rect style="width:0;height:1.5pt" o:hralign="center" o:hrstd="t" o:hr="t"/>
        </w:pict>
      </w:r>
    </w:p>
    <w:bookmarkEnd w:id="11"/>
    <w:bookmarkStart w:id="12" w:name="X6fafb9a7c4d4bc1cbbc7e63ecc5cdd3acd3f4de"/>
    <w:p>
      <w:pPr>
        <w:pStyle w:val="Heading2"/>
      </w:pPr>
      <w:r>
        <w:t xml:space="preserve">Why EPS Falls YoY Even as the Business Improves</w:t>
      </w:r>
    </w:p>
    <w:p>
      <w:pPr>
        <w:pStyle w:val="FirstParagraph"/>
      </w:pPr>
      <w:r>
        <w:t xml:space="preserve">This is the single most important thing to understand going in — the decline is</w:t>
      </w:r>
      <w:r>
        <w:t xml:space="preserve"> </w:t>
      </w:r>
      <w:r>
        <w:rPr>
          <w:b/>
          <w:bCs/>
        </w:rPr>
        <w:t xml:space="preserve">not</w:t>
      </w:r>
      <w:r>
        <w:t xml:space="preserve"> </w:t>
      </w:r>
      <w:r>
        <w:t xml:space="preserve">deterioration. It reflects:</w:t>
      </w:r>
    </w:p>
    <w:p>
      <w:pPr>
        <w:pStyle w:val="Compact"/>
        <w:numPr>
          <w:ilvl w:val="0"/>
          <w:numId w:val="1001"/>
        </w:numPr>
      </w:pPr>
      <w:r>
        <w:rPr>
          <w:b/>
          <w:bCs/>
        </w:rPr>
        <w:t xml:space="preserve">A tough comp.</w:t>
      </w:r>
      <w:r>
        <w:t xml:space="preserve"> </w:t>
      </w:r>
      <w:r>
        <w:t xml:space="preserve">Q2 2025 EPS of</w:t>
      </w:r>
      <w:r>
        <w:t xml:space="preserve"> </w:t>
      </w:r>
      <m:oMath>
        <m:r>
          <m:t>2.50</m:t>
        </m:r>
        <m:r>
          <m:t>w</m:t>
        </m:r>
        <m:r>
          <m:t>a</m:t>
        </m:r>
        <m:r>
          <m:t>s</m:t>
        </m:r>
        <m:r>
          <m:t>f</m:t>
        </m:r>
        <m:r>
          <m:t>l</m:t>
        </m:r>
        <m:r>
          <m:t>a</m:t>
        </m:r>
        <m:r>
          <m:t>t</m:t>
        </m:r>
        <m:r>
          <m:t>t</m:t>
        </m:r>
        <m:r>
          <m:t>e</m:t>
        </m:r>
        <m:r>
          <m:t>r</m:t>
        </m:r>
        <m:r>
          <m:t>e</m:t>
        </m:r>
        <m:r>
          <m:t>d</m:t>
        </m:r>
        <m:r>
          <m:t>b</m:t>
        </m:r>
        <m:r>
          <m:t>y</m:t>
        </m:r>
        <m:r>
          <m:t>a</m:t>
        </m:r>
        <m:r>
          <m:t>l</m:t>
        </m:r>
        <m:r>
          <m:t>o</m:t>
        </m:r>
        <m:r>
          <m:t>w</m:t>
        </m:r>
        <m:r>
          <m:t>p</m:t>
        </m:r>
        <m:r>
          <m:t>r</m:t>
        </m:r>
        <m:r>
          <m:t>o</m:t>
        </m:r>
        <m:r>
          <m:t>v</m:t>
        </m:r>
        <m:r>
          <m:t>i</m:t>
        </m:r>
        <m:r>
          <m:t>s</m:t>
        </m:r>
        <m:r>
          <m:t>i</m:t>
        </m:r>
        <m:r>
          <m:t>o</m:t>
        </m:r>
        <m:r>
          <m:t>n</m:t>
        </m:r>
        <m:r>
          <m:rPr>
            <m:sty m:val="p"/>
          </m:rPr>
          <m:t>(</m:t>
        </m:r>
      </m:oMath>
      <w:r>
        <w:t xml:space="preserve">1,146M) and reserve dynamics.</w:t>
      </w:r>
    </w:p>
    <w:p>
      <w:pPr>
        <w:pStyle w:val="Compact"/>
        <w:numPr>
          <w:ilvl w:val="0"/>
          <w:numId w:val="1001"/>
        </w:numPr>
      </w:pPr>
      <w:r>
        <w:rPr>
          <w:b/>
          <w:bCs/>
        </w:rPr>
        <w:t xml:space="preserve">Rising Retailer Share Arrangements (RSA).</w:t>
      </w:r>
      <w:r>
        <w:t xml:space="preserve"> </w:t>
      </w:r>
      <w:r>
        <w:t xml:space="preserve">As program performance improves (lower losses, PPPC benefit), Synchrony pays more back to partners. RSA jumped ~20% YoY in Q1 to $1.07B. Management guides RSA to</w:t>
      </w:r>
      <w:r>
        <w:t xml:space="preserve"> </w:t>
      </w:r>
      <w:r>
        <w:rPr>
          <w:b/>
          <w:bCs/>
        </w:rPr>
        <w:t xml:space="preserve">4.0%–4.5% of average receivables</w:t>
      </w:r>
      <w:r>
        <w:t xml:space="preserve"> </w:t>
      </w:r>
      <w:r>
        <w:t xml:space="preserve">— a direct offset to credit and revenue upside.</w:t>
      </w:r>
    </w:p>
    <w:p>
      <w:pPr>
        <w:pStyle w:val="Compact"/>
        <w:numPr>
          <w:ilvl w:val="0"/>
          <w:numId w:val="1001"/>
        </w:numPr>
      </w:pPr>
      <w:r>
        <w:rPr>
          <w:b/>
          <w:bCs/>
        </w:rPr>
        <w:t xml:space="preserve">Lower late-fee incidence</w:t>
      </w:r>
      <w:r>
        <w:t xml:space="preserve"> </w:t>
      </w:r>
      <w:r>
        <w:t xml:space="preserve">weighing on fee income.</w:t>
      </w:r>
    </w:p>
    <w:p>
      <w:pPr>
        <w:pStyle w:val="Compact"/>
        <w:numPr>
          <w:ilvl w:val="0"/>
          <w:numId w:val="1001"/>
        </w:numPr>
      </w:pPr>
      <w:r>
        <w:rPr>
          <w:b/>
          <w:bCs/>
        </w:rPr>
        <w:t xml:space="preserve">A much lower share count</w:t>
      </w:r>
      <w:r>
        <w:t xml:space="preserve"> </w:t>
      </w:r>
      <w:r>
        <w:t xml:space="preserve">(buybacks) is a partial</w:t>
      </w:r>
      <w:r>
        <w:t xml:space="preserve"> </w:t>
      </w:r>
      <w:r>
        <w:rPr>
          <w:i/>
          <w:iCs/>
        </w:rPr>
        <w:t xml:space="preserve">offset</w:t>
      </w:r>
      <w:r>
        <w:t xml:space="preserve">, cushioning EPS — shares outstanding fell ~11% YoY.</w:t>
      </w:r>
    </w:p>
    <w:p>
      <w:pPr>
        <w:pStyle w:val="FirstParagraph"/>
      </w:pPr>
      <w:r>
        <w:t xml:space="preserve">Bottom line: better credit and higher NII largely get shared with partners via RSA, so pre-tax earnings power looks steadier than the headline suggests.</w:t>
      </w:r>
    </w:p>
    <w:p>
      <w:r>
        <w:pict>
          <v:rect style="width:0;height:1.5pt" o:hralign="center" o:hrstd="t" o:hr="t"/>
        </w:pict>
      </w:r>
    </w:p>
    <w:bookmarkEnd w:id="12"/>
    <w:bookmarkStart w:id="13" w:name="X4ca123e4a40ea7f159f0827a88d4b887de124df"/>
    <w:p>
      <w:pPr>
        <w:pStyle w:val="Heading2"/>
      </w:pPr>
      <w:r>
        <w:t xml:space="preserve">Key Numbers to Anchor Against (Q2 2025 actuals)</w:t>
      </w:r>
    </w:p>
    <w:p>
      <w:pPr>
        <w:pStyle w:val="Compact"/>
        <w:numPr>
          <w:ilvl w:val="0"/>
          <w:numId w:val="1002"/>
        </w:numPr>
      </w:pPr>
      <w:r>
        <w:t xml:space="preserve">Diluted EPS:</w:t>
      </w:r>
      <w:r>
        <w:t xml:space="preserve"> </w:t>
      </w:r>
      <w:r>
        <w:rPr>
          <w:b/>
          <w:bCs/>
        </w:rPr>
        <w:t xml:space="preserve">$2.50</w:t>
      </w:r>
    </w:p>
    <w:p>
      <w:pPr>
        <w:pStyle w:val="Compact"/>
        <w:numPr>
          <w:ilvl w:val="0"/>
          <w:numId w:val="1002"/>
        </w:numPr>
      </w:pPr>
      <w:r>
        <w:t xml:space="preserve">Net interest income:</w:t>
      </w:r>
      <w:r>
        <w:t xml:space="preserve"> </w:t>
      </w:r>
      <w:r>
        <w:rPr>
          <w:b/>
          <w:bCs/>
        </w:rPr>
        <w:t xml:space="preserve">$4,521M</w:t>
      </w:r>
      <w:r>
        <w:t xml:space="preserve">; NIM</w:t>
      </w:r>
      <w:r>
        <w:t xml:space="preserve"> </w:t>
      </w:r>
      <w:r>
        <w:rPr>
          <w:b/>
          <w:bCs/>
        </w:rPr>
        <w:t xml:space="preserve">14.78%</w:t>
      </w:r>
    </w:p>
    <w:p>
      <w:pPr>
        <w:pStyle w:val="Compact"/>
        <w:numPr>
          <w:ilvl w:val="0"/>
          <w:numId w:val="1002"/>
        </w:numPr>
      </w:pPr>
      <w:r>
        <w:t xml:space="preserve">Purchase volume:</w:t>
      </w:r>
      <w:r>
        <w:t xml:space="preserve"> </w:t>
      </w:r>
      <w:r>
        <w:rPr>
          <w:b/>
          <w:bCs/>
        </w:rPr>
        <w:t xml:space="preserve">$46,084M</w:t>
      </w:r>
    </w:p>
    <w:p>
      <w:pPr>
        <w:pStyle w:val="Compact"/>
        <w:numPr>
          <w:ilvl w:val="0"/>
          <w:numId w:val="1002"/>
        </w:numPr>
      </w:pPr>
      <w:r>
        <w:t xml:space="preserve">Period-end loan receivables:</w:t>
      </w:r>
      <w:r>
        <w:t xml:space="preserve"> </w:t>
      </w:r>
      <w:r>
        <w:rPr>
          <w:b/>
          <w:bCs/>
        </w:rPr>
        <w:t xml:space="preserve">$99,776M</w:t>
      </w:r>
    </w:p>
    <w:p>
      <w:pPr>
        <w:pStyle w:val="Compact"/>
        <w:numPr>
          <w:ilvl w:val="0"/>
          <w:numId w:val="1002"/>
        </w:numPr>
      </w:pPr>
      <w:r>
        <w:t xml:space="preserve">Net charge-off rate:</w:t>
      </w:r>
      <w:r>
        <w:t xml:space="preserve"> </w:t>
      </w:r>
      <w:r>
        <w:rPr>
          <w:b/>
          <w:bCs/>
        </w:rPr>
        <w:t xml:space="preserve">5.70%</w:t>
      </w:r>
      <w:r>
        <w:t xml:space="preserve">; 30+ DQ</w:t>
      </w:r>
      <w:r>
        <w:t xml:space="preserve"> </w:t>
      </w:r>
      <w:r>
        <w:rPr>
          <w:b/>
          <w:bCs/>
        </w:rPr>
        <w:t xml:space="preserve">4.18%</w:t>
      </w:r>
    </w:p>
    <w:p>
      <w:pPr>
        <w:pStyle w:val="Compact"/>
        <w:numPr>
          <w:ilvl w:val="0"/>
          <w:numId w:val="1002"/>
        </w:numPr>
      </w:pPr>
      <w:r>
        <w:t xml:space="preserve">RSA:</w:t>
      </w:r>
      <w:r>
        <w:t xml:space="preserve"> </w:t>
      </w:r>
      <w:r>
        <w:rPr>
          <w:b/>
          <w:bCs/>
        </w:rPr>
        <w:t xml:space="preserve">$992M</w:t>
      </w:r>
      <w:r>
        <w:t xml:space="preserve"> </w:t>
      </w:r>
      <w:r>
        <w:t xml:space="preserve">(4.00% of avg. receivables)</w:t>
      </w:r>
    </w:p>
    <w:p>
      <w:pPr>
        <w:pStyle w:val="Compact"/>
        <w:numPr>
          <w:ilvl w:val="0"/>
          <w:numId w:val="1002"/>
        </w:numPr>
      </w:pPr>
      <w:r>
        <w:t xml:space="preserve">Provision:</w:t>
      </w:r>
      <w:r>
        <w:t xml:space="preserve"> </w:t>
      </w:r>
      <w:r>
        <w:rPr>
          <w:b/>
          <w:bCs/>
        </w:rPr>
        <w:t xml:space="preserve">$1,146M</w:t>
      </w:r>
      <w:r>
        <w:t xml:space="preserve">; efficiency ratio</w:t>
      </w:r>
      <w:r>
        <w:t xml:space="preserve"> </w:t>
      </w:r>
      <w:r>
        <w:rPr>
          <w:b/>
          <w:bCs/>
        </w:rPr>
        <w:t xml:space="preserve">34.1%</w:t>
      </w:r>
    </w:p>
    <w:p>
      <w:pPr>
        <w:pStyle w:val="FirstParagraph"/>
      </w:pPr>
      <w:r>
        <w:t xml:space="preserve">For reference, Q1 2026 delivered EPS $2.27, NIM 15.50%, NCO 5.42%, purchase volume $42.98B (+5.6% YoY), and ROTCE of 24.5%.</w:t>
      </w:r>
    </w:p>
    <w:p>
      <w:r>
        <w:pict>
          <v:rect style="width:0;height:1.5pt" o:hralign="center" o:hrstd="t" o:hr="t"/>
        </w:pict>
      </w:r>
    </w:p>
    <w:bookmarkEnd w:id="13"/>
    <w:bookmarkStart w:id="19" w:name="X60230b9cede7c0cb137beeb971c8987a2606abf"/>
    <w:p>
      <w:pPr>
        <w:pStyle w:val="Heading2"/>
      </w:pPr>
      <w:r>
        <w:t xml:space="preserve">The Five Things That Actually Matter on This Print</w:t>
      </w:r>
    </w:p>
    <w:bookmarkStart w:id="14" w:name="X7df4ac206a27214ffb5922fa34f623dced0de5d"/>
    <w:p>
      <w:pPr>
        <w:pStyle w:val="Heading3"/>
      </w:pPr>
      <w:r>
        <w:t xml:space="preserve">1. Credit — Q2 is the guided seasonal peak</w:t>
      </w:r>
    </w:p>
    <w:p>
      <w:pPr>
        <w:pStyle w:val="FirstParagraph"/>
      </w:pPr>
      <w:r>
        <w:t xml:space="preserve">Management explicitly said on the Q1 call that</w:t>
      </w:r>
      <w:r>
        <w:t xml:space="preserve"> </w:t>
      </w:r>
      <w:r>
        <w:rPr>
          <w:b/>
          <w:bCs/>
        </w:rPr>
        <w:t xml:space="preserve">net charge-offs would peak in Q2</w:t>
      </w:r>
      <w:r>
        <w:t xml:space="preserve"> </w:t>
      </w:r>
      <w:r>
        <w:t xml:space="preserve">and that full-year NCO should be</w:t>
      </w:r>
      <w:r>
        <w:t xml:space="preserve"> </w:t>
      </w:r>
      <w:r>
        <w:rPr>
          <w:b/>
          <w:bCs/>
        </w:rPr>
        <w:t xml:space="preserve">below 5.5%</w:t>
      </w:r>
      <w:r>
        <w:t xml:space="preserve">. Q2 2025 NCO was 5.70%, so a print meaningfully below that (likely low-5% range vs. Q1's 5.42%) would confirm the improving trajectory. Watch delinquency formation (30+ was 4.54% in Q1) and whether the nonprime cohort keeps outperforming — the payoff of prior credit tightening actions. Any reserve release (allowance was 10.42% of loans in Q1) would be an EPS swing factor, though management signaled caution given macro uncertainty.</w:t>
      </w:r>
    </w:p>
    <w:bookmarkEnd w:id="14"/>
    <w:bookmarkStart w:id="15" w:name="X3088cf77c28e3ab04b0ace6538e2e73f3c81bcc"/>
    <w:p>
      <w:pPr>
        <w:pStyle w:val="Heading3"/>
      </w:pPr>
      <w:r>
        <w:t xml:space="preserve">2. Loan growth inflection &amp; the H2 acceleration story</w:t>
      </w:r>
    </w:p>
    <w:p>
      <w:pPr>
        <w:pStyle w:val="FirstParagraph"/>
      </w:pPr>
      <w:r>
        <w:t xml:space="preserve">Ending receivables were essentially flat YoY ($100B), pressured by elevated payment rates (16.3% in Q1, +50 bps YoY). The bull case rests on</w:t>
      </w:r>
      <w:r>
        <w:t xml:space="preserve"> </w:t>
      </w:r>
      <w:r>
        <w:rPr>
          <w:b/>
          <w:bCs/>
        </w:rPr>
        <w:t xml:space="preserve">mid-single-digit receivables growth by year-end</w:t>
      </w:r>
      <w:r>
        <w:t xml:space="preserve">, accelerating in H2, driven by:</w:t>
      </w:r>
    </w:p>
    <w:p>
      <w:pPr>
        <w:pStyle w:val="Compact"/>
        <w:numPr>
          <w:ilvl w:val="0"/>
          <w:numId w:val="1003"/>
        </w:numPr>
      </w:pPr>
      <w:r>
        <w:t xml:space="preserve">New/ramping programs:</w:t>
      </w:r>
      <w:r>
        <w:t xml:space="preserve"> </w:t>
      </w:r>
      <w:r>
        <w:rPr>
          <w:b/>
          <w:bCs/>
        </w:rPr>
        <w:t xml:space="preserve">Walmart OnePay, Bob's Discount Furniture, RH</w:t>
      </w:r>
      <w:r>
        <w:t xml:space="preserve">, and the ~$725M</w:t>
      </w:r>
      <w:r>
        <w:t xml:space="preserve"> </w:t>
      </w:r>
      <w:r>
        <w:rPr>
          <w:b/>
          <w:bCs/>
        </w:rPr>
        <w:t xml:space="preserve">Lowe's commercial co-brand</w:t>
      </w:r>
      <w:r>
        <w:t xml:space="preserve"> </w:t>
      </w:r>
      <w:r>
        <w:t xml:space="preserve">book added in early April.</w:t>
      </w:r>
    </w:p>
    <w:p>
      <w:pPr>
        <w:pStyle w:val="Compact"/>
        <w:numPr>
          <w:ilvl w:val="0"/>
          <w:numId w:val="1003"/>
        </w:numPr>
      </w:pPr>
      <w:r>
        <w:t xml:space="preserve">Strong new account originations (+15% in Q1).</w:t>
      </w:r>
    </w:p>
    <w:p>
      <w:pPr>
        <w:pStyle w:val="Compact"/>
        <w:numPr>
          <w:ilvl w:val="0"/>
          <w:numId w:val="1003"/>
        </w:numPr>
      </w:pPr>
      <w:r>
        <w:t xml:space="preserve">An expected</w:t>
      </w:r>
      <w:r>
        <w:t xml:space="preserve"> </w:t>
      </w:r>
      <w:r>
        <w:rPr>
          <w:b/>
          <w:bCs/>
        </w:rPr>
        <w:t xml:space="preserve">inflection in average active accounts</w:t>
      </w:r>
      <w:r>
        <w:t xml:space="preserve">, which have declined for 6 straight quarters and management expects to invert mid-year. Watch this metric closely.</w:t>
      </w:r>
    </w:p>
    <w:bookmarkEnd w:id="15"/>
    <w:bookmarkStart w:id="16" w:name="X3c04959a1b34eeb6e4e422173ceba91f0a5c28d"/>
    <w:p>
      <w:pPr>
        <w:pStyle w:val="Heading3"/>
      </w:pPr>
      <w:r>
        <w:t xml:space="preserve">3. NIM &amp; payment rate</w:t>
      </w:r>
    </w:p>
    <w:p>
      <w:pPr>
        <w:pStyle w:val="FirstParagraph"/>
      </w:pPr>
      <w:r>
        <w:t xml:space="preserve">NIM has expanded nicely (15.50% in Q1, +76 bps YoY) on PPPC repricing benefits and lower funding costs. The tension:</w:t>
      </w:r>
      <w:r>
        <w:t xml:space="preserve"> </w:t>
      </w:r>
      <w:r>
        <w:rPr>
          <w:b/>
          <w:bCs/>
        </w:rPr>
        <w:t xml:space="preserve">elevated payment rates</w:t>
      </w:r>
      <w:r>
        <w:t xml:space="preserve"> </w:t>
      </w:r>
      <w:r>
        <w:t xml:space="preserve">suppress revolving balances and NII. A moderation in payment rate would be a positive (more revolve = more revenue); persistence keeps growth back-half-loaded.</w:t>
      </w:r>
    </w:p>
    <w:bookmarkEnd w:id="16"/>
    <w:bookmarkStart w:id="17" w:name="Xe0248bcd75c4a46c2dd7662735bae21a14c7177"/>
    <w:p>
      <w:pPr>
        <w:pStyle w:val="Heading3"/>
      </w:pPr>
      <w:r>
        <w:t xml:space="preserve">4. Capital return — the clearest positive</w:t>
      </w:r>
    </w:p>
    <w:p>
      <w:pPr>
        <w:pStyle w:val="Compact"/>
        <w:numPr>
          <w:ilvl w:val="0"/>
          <w:numId w:val="1004"/>
        </w:numPr>
      </w:pPr>
      <w:r>
        <w:t xml:space="preserve">New **</w:t>
      </w:r>
      <m:oMath>
        <m:r>
          <m:t>6.5</m:t>
        </m:r>
        <m:r>
          <m:t>B</m:t>
        </m:r>
        <m:r>
          <m:rPr>
            <m:sty m:val="p"/>
          </m:rPr>
          <m:t>,</m:t>
        </m:r>
        <m:r>
          <m:t>o</m:t>
        </m:r>
        <m:r>
          <m:t>p</m:t>
        </m:r>
        <m:r>
          <m:t>e</m:t>
        </m:r>
        <m:r>
          <m:t>n</m:t>
        </m:r>
        <m:r>
          <m:rPr>
            <m:sty m:val="p"/>
          </m:rPr>
          <m:t>−</m:t>
        </m:r>
        <m:r>
          <m:t>e</m:t>
        </m:r>
        <m:r>
          <m:t>n</m:t>
        </m:r>
        <m:r>
          <m:t>d</m:t>
        </m:r>
        <m:r>
          <m:t>e</m:t>
        </m:r>
        <m:r>
          <m:t>d</m:t>
        </m:r>
        <m:r>
          <m:t>b</m:t>
        </m:r>
        <m:r>
          <m:t>u</m:t>
        </m:r>
        <m:r>
          <m:t>y</m:t>
        </m:r>
        <m:r>
          <m:t>b</m:t>
        </m:r>
        <m:r>
          <m:t>a</m:t>
        </m:r>
        <m:r>
          <m:t>c</m:t>
        </m:r>
        <m:r>
          <m:t>k</m:t>
        </m:r>
        <m:r>
          <m:rPr>
            <m:sty m:val="p"/>
          </m:rPr>
          <m:t>*</m:t>
        </m:r>
        <m:r>
          <m:rPr>
            <m:sty m:val="p"/>
          </m:rPr>
          <m:t>*</m:t>
        </m:r>
        <m:r>
          <m:t>c</m:t>
        </m:r>
        <m:r>
          <m:t>o</m:t>
        </m:r>
        <m:r>
          <m:t>m</m:t>
        </m:r>
        <m:r>
          <m:t>m</m:t>
        </m:r>
        <m:r>
          <m:t>e</m:t>
        </m:r>
        <m:r>
          <m:t>n</m:t>
        </m:r>
        <m:r>
          <m:t>c</m:t>
        </m:r>
        <m:r>
          <m:t>e</m:t>
        </m:r>
        <m:r>
          <m:t>d</m:t>
        </m:r>
        <m:r>
          <m:t>i</m:t>
        </m:r>
        <m:r>
          <m:t>n</m:t>
        </m:r>
        <m:r>
          <m:t>Q</m:t>
        </m:r>
        <m:r>
          <m:t>2</m:t>
        </m:r>
        <m:r>
          <m:t>2026</m:t>
        </m:r>
        <m:r>
          <m:rPr>
            <m:sty m:val="p"/>
          </m:rPr>
          <m:t>(</m:t>
        </m:r>
        <m:r>
          <m:t>r</m:t>
        </m:r>
        <m:r>
          <m:t>e</m:t>
        </m:r>
        <m:r>
          <m:t>p</m:t>
        </m:r>
        <m:r>
          <m:t>l</m:t>
        </m:r>
        <m:r>
          <m:t>a</m:t>
        </m:r>
        <m:r>
          <m:t>c</m:t>
        </m:r>
        <m:r>
          <m:t>i</m:t>
        </m:r>
        <m:r>
          <m:t>n</m:t>
        </m:r>
        <m:r>
          <m:t>g</m:t>
        </m:r>
        <m:r>
          <m:t>t</m:t>
        </m:r>
        <m:r>
          <m:t>h</m:t>
        </m:r>
        <m:r>
          <m:t>e</m:t>
        </m:r>
        <m:r>
          <m:t>p</m:t>
        </m:r>
        <m:r>
          <m:t>r</m:t>
        </m:r>
        <m:r>
          <m:t>i</m:t>
        </m:r>
        <m:r>
          <m:t>o</m:t>
        </m:r>
        <m:r>
          <m:t>r</m:t>
        </m:r>
        <m:r>
          <m:t>p</m:t>
        </m:r>
        <m:r>
          <m:t>r</m:t>
        </m:r>
        <m:r>
          <m:t>o</m:t>
        </m:r>
        <m:r>
          <m:t>g</m:t>
        </m:r>
        <m:r>
          <m:t>r</m:t>
        </m:r>
        <m:r>
          <m:t>a</m:t>
        </m:r>
        <m:r>
          <m:t>m</m:t>
        </m:r>
        <m:r>
          <m:rPr>
            <m:sty m:val="p"/>
          </m:rPr>
          <m:t>)</m:t>
        </m:r>
        <m:r>
          <m:rPr>
            <m:sty m:val="p"/>
          </m:rPr>
          <m:t>.</m:t>
        </m:r>
        <m:r>
          <m:t>R</m:t>
        </m:r>
        <m:r>
          <m:t>e</m:t>
        </m:r>
        <m:r>
          <m:t>c</m:t>
        </m:r>
        <m:r>
          <m:t>e</m:t>
        </m:r>
        <m:r>
          <m:t>n</m:t>
        </m:r>
        <m:r>
          <m:t>t</m:t>
        </m:r>
        <m:r>
          <m:t>p</m:t>
        </m:r>
        <m:r>
          <m:t>a</m:t>
        </m:r>
        <m:r>
          <m:t>c</m:t>
        </m:r>
        <m:r>
          <m:t>e</m:t>
        </m:r>
        <m:r>
          <m:t>h</m:t>
        </m:r>
        <m:r>
          <m:t>a</m:t>
        </m:r>
        <m:r>
          <m:t>s</m:t>
        </m:r>
        <m:r>
          <m:t>b</m:t>
        </m:r>
        <m:r>
          <m:t>e</m:t>
        </m:r>
        <m:r>
          <m:t>e</m:t>
        </m:r>
        <m:r>
          <m:t>n</m:t>
        </m:r>
        <m:r>
          <m:t> </m:t>
        </m:r>
      </m:oMath>
      <w:r>
        <w:t xml:space="preserve">900M/quarter.</w:t>
      </w:r>
    </w:p>
    <w:p>
      <w:pPr>
        <w:pStyle w:val="Compact"/>
        <w:numPr>
          <w:ilvl w:val="0"/>
          <w:numId w:val="1004"/>
        </w:numPr>
      </w:pPr>
      <w:r>
        <w:t xml:space="preserve">The Board approved a planned 13% increase in the quarterly cash dividend to $0.34 per share of common stock beginning in third quarter 2026.</w:t>
      </w:r>
    </w:p>
    <w:p>
      <w:pPr>
        <w:pStyle w:val="Compact"/>
        <w:numPr>
          <w:ilvl w:val="0"/>
          <w:numId w:val="1004"/>
        </w:numPr>
      </w:pPr>
      <w:r>
        <w:t xml:space="preserve">CET1 was 12.7% in Q1; management framed capital return as "aggressive but prudent."</w:t>
      </w:r>
    </w:p>
    <w:p>
      <w:pPr>
        <w:pStyle w:val="Compact"/>
        <w:numPr>
          <w:ilvl w:val="0"/>
          <w:numId w:val="1004"/>
        </w:numPr>
      </w:pPr>
      <w:r>
        <w:rPr>
          <w:b/>
          <w:bCs/>
        </w:rPr>
        <w:t xml:space="preserve">Basel III wildcard:</w:t>
      </w:r>
      <w:r>
        <w:t xml:space="preserve"> </w:t>
      </w:r>
      <w:r>
        <w:t xml:space="preserve">management estimates the standardized approach, if adopted as proposed, would free</w:t>
      </w:r>
      <w:r>
        <w:t xml:space="preserve"> </w:t>
      </w:r>
      <w:r>
        <w:rPr>
          <w:b/>
          <w:bCs/>
        </w:rPr>
        <w:t xml:space="preserve">125–150 bps of capital</w:t>
      </w:r>
      <w:r>
        <w:t xml:space="preserve"> </w:t>
      </w:r>
      <w:r>
        <w:t xml:space="preserve">— a potential catalyst for even more buyback/M&amp;A optionality.</w:t>
      </w:r>
    </w:p>
    <w:bookmarkEnd w:id="17"/>
    <w:bookmarkStart w:id="18" w:name="Xccdb2e0792b8bcacd9b24c9fc870b046e43a9d9"/>
    <w:p>
      <w:pPr>
        <w:pStyle w:val="Heading3"/>
      </w:pPr>
      <w:r>
        <w:t xml:space="preserve">5. Expenses &amp; AI/agentic commerce narrative</w:t>
      </w:r>
    </w:p>
    <w:p>
      <w:pPr>
        <w:pStyle w:val="FirstParagraph"/>
      </w:pPr>
      <w:r>
        <w:t xml:space="preserve">Other expense grew 6% in Q1 (tech investment + operational losses); guidance is for opex to track receivables growth, with operating leverage building in H2. Expect continued emphasis on flat headcount, Gen-AI productivity, and being embedded in</w:t>
      </w:r>
      <w:r>
        <w:t xml:space="preserve"> </w:t>
      </w:r>
      <w:r>
        <w:rPr>
          <w:b/>
          <w:bCs/>
        </w:rPr>
        <w:t xml:space="preserve">agentic commerce</w:t>
      </w:r>
      <w:r>
        <w:t xml:space="preserve"> </w:t>
      </w:r>
      <w:r>
        <w:t xml:space="preserve">checkout flows — a key strategic talking point.</w:t>
      </w:r>
    </w:p>
    <w:p>
      <w:r>
        <w:pict>
          <v:rect style="width:0;height:1.5pt" o:hralign="center" o:hrstd="t" o:hr="t"/>
        </w:pict>
      </w:r>
    </w:p>
    <w:bookmarkEnd w:id="18"/>
    <w:bookmarkEnd w:id="19"/>
    <w:bookmarkStart w:id="20" w:name="X7e4c7edebc70e3ceba011936f88215ac769420c"/>
    <w:p>
      <w:pPr>
        <w:pStyle w:val="Heading2"/>
      </w:pPr>
      <w:r>
        <w:t xml:space="preserve">Macro / Consumer Backdrop — The Real Overhang</w:t>
      </w:r>
    </w:p>
    <w:p>
      <w:pPr>
        <w:pStyle w:val="FirstParagraph"/>
      </w:pPr>
      <w:r>
        <w:t xml:space="preserve">The consumer-credit trade got hit hard in early July. On</w:t>
      </w:r>
      <w:r>
        <w:t xml:space="preserve"> </w:t>
      </w:r>
      <w:r>
        <w:rPr>
          <w:b/>
          <w:bCs/>
        </w:rPr>
        <w:t xml:space="preserve">July 8, SYF fell ~10%</w:t>
      </w:r>
      <w:r>
        <w:t xml:space="preserve"> </w:t>
      </w:r>
      <w:r>
        <w:t xml:space="preserve">in a session, with peers</w:t>
      </w:r>
      <w:r>
        <w:t xml:space="preserve"> </w:t>
      </w:r>
      <w:r>
        <w:rPr>
          <w:b/>
          <w:bCs/>
        </w:rPr>
        <w:t xml:space="preserve">Capital One and Bread Financial</w:t>
      </w:r>
      <w:r>
        <w:t xml:space="preserve"> </w:t>
      </w:r>
      <w:r>
        <w:t xml:space="preserve">dropping alongside it — a sector-wide risk-off move, not company-specific. The catalysts: renewed U.S.–Iran conflict and rising oil prices reignited inflation concerns, and consumer-spending warnings piled up — PepsiCo said the consumer was in worse shape than anticipated, and restaurants cited high fuel prices keeping diners home.</w:t>
      </w:r>
    </w:p>
    <w:p>
      <w:pPr>
        <w:pStyle w:val="BodyText"/>
      </w:pPr>
      <w:r>
        <w:t xml:space="preserve">This matters because SYF's entire thesis rests on the resilient consumer. In Q1, management flagged rising gas prices as a watch item but saw</w:t>
      </w:r>
      <w:r>
        <w:t xml:space="preserve"> </w:t>
      </w:r>
      <w:r>
        <w:rPr>
          <w:b/>
          <w:bCs/>
        </w:rPr>
        <w:t xml:space="preserve">no change in spending or payment behavior</w:t>
      </w:r>
      <w:r>
        <w:t xml:space="preserve">, and noted tax refunds came in lighter than expected (~</w:t>
      </w:r>
      <m:oMath>
        <m:r>
          <m:t>350</m:t>
        </m:r>
        <m:r>
          <m:t>v</m:t>
        </m:r>
        <m:r>
          <m:t>s</m:t>
        </m:r>
        <m:r>
          <m:rPr>
            <m:sty m:val="p"/>
          </m:rPr>
          <m:t>.</m:t>
        </m:r>
        <m:r>
          <m:t> </m:t>
        </m:r>
      </m:oMath>
      <w:r>
        <w:t xml:space="preserve">500 assumed). The market will want fresh, real-time read-through on July spend/credit trends — arguably the most scrutinized part of the call.</w:t>
      </w:r>
    </w:p>
    <w:p>
      <w:r>
        <w:pict>
          <v:rect style="width:0;height:1.5pt" o:hralign="center" o:hrstd="t" o:hr="t"/>
        </w:pict>
      </w:r>
    </w:p>
    <w:bookmarkEnd w:id="20"/>
    <w:bookmarkStart w:id="21" w:name="stock-context"/>
    <w:p>
      <w:pPr>
        <w:pStyle w:val="Heading2"/>
      </w:pPr>
      <w:r>
        <w:t xml:space="preserve">Stock Context</w:t>
      </w:r>
    </w:p>
    <w:p>
      <w:pPr>
        <w:pStyle w:val="Compact"/>
        <w:numPr>
          <w:ilvl w:val="0"/>
          <w:numId w:val="1005"/>
        </w:numPr>
      </w:pPr>
      <w:r>
        <w:t xml:space="preserve">SYF closed around</w:t>
      </w:r>
      <w:r>
        <w:t xml:space="preserve"> </w:t>
      </w:r>
      <m:oMath>
        <m:r>
          <m:t>73.4</m:t>
        </m:r>
        <m:r>
          <m:rPr>
            <m:sty m:val="p"/>
          </m:rPr>
          <m:t>*</m:t>
        </m:r>
        <m:r>
          <m:rPr>
            <m:sty m:val="p"/>
          </m:rPr>
          <m:t>*</m:t>
        </m:r>
        <m:r>
          <m:t>o</m:t>
        </m:r>
        <m:r>
          <m:t>n</m:t>
        </m:r>
        <m:r>
          <m:t>J</m:t>
        </m:r>
        <m:r>
          <m:t>u</m:t>
        </m:r>
        <m:r>
          <m:t>l</m:t>
        </m:r>
        <m:r>
          <m:t>y</m:t>
        </m:r>
        <m:r>
          <m:t>20</m:t>
        </m:r>
        <m:r>
          <m:rPr>
            <m:sty m:val="p"/>
          </m:rPr>
          <m:t>,</m:t>
        </m:r>
        <m:r>
          <m:t>d</m:t>
        </m:r>
        <m:r>
          <m:t>o</m:t>
        </m:r>
        <m:r>
          <m:t>w</m:t>
        </m:r>
        <m:r>
          <m:t>n</m:t>
        </m:r>
        <m:r>
          <m:t>f</m:t>
        </m:r>
        <m:r>
          <m:t>r</m:t>
        </m:r>
        <m:r>
          <m:t>o</m:t>
        </m:r>
        <m:r>
          <m:t>m</m:t>
        </m:r>
        <m:r>
          <m:t>a</m:t>
        </m:r>
        <m:r>
          <m:t>J</m:t>
        </m:r>
        <m:r>
          <m:t>a</m:t>
        </m:r>
        <m:r>
          <m:t>n</m:t>
        </m:r>
        <m:r>
          <m:t>u</m:t>
        </m:r>
        <m:r>
          <m:t>a</m:t>
        </m:r>
        <m:r>
          <m:t>r</m:t>
        </m:r>
        <m:r>
          <m:t>y</m:t>
        </m:r>
        <m:r>
          <m:t>h</m:t>
        </m:r>
        <m:r>
          <m:t>i</m:t>
        </m:r>
        <m:r>
          <m:t>g</m:t>
        </m:r>
        <m:r>
          <m:t>h</m:t>
        </m:r>
        <m:r>
          <m:t>n</m:t>
        </m:r>
        <m:r>
          <m:t>e</m:t>
        </m:r>
        <m:r>
          <m:t>a</m:t>
        </m:r>
        <m:r>
          <m:t>r</m:t>
        </m:r>
        <m:r>
          <m:rPr>
            <m:sty m:val="p"/>
          </m:rPr>
          <m:t>*</m:t>
        </m:r>
        <m:r>
          <m:rPr>
            <m:sty m:val="p"/>
          </m:rPr>
          <m:t>*</m:t>
        </m:r>
      </m:oMath>
      <w:r>
        <w:rPr>
          <w:b/>
          <w:bCs/>
        </w:rPr>
        <w:t xml:space="preserve">88</w:t>
      </w:r>
      <w:r>
        <w:t xml:space="preserve"> </w:t>
      </w:r>
      <w:r>
        <w:t xml:space="preserve">and roughly</w:t>
      </w:r>
      <w:r>
        <w:t xml:space="preserve"> </w:t>
      </w:r>
      <w:r>
        <w:rPr>
          <w:b/>
          <w:bCs/>
        </w:rPr>
        <w:t xml:space="preserve">-13% YTD</w:t>
      </w:r>
      <w:r>
        <w:t xml:space="preserve">, though up ~10% over the trailing 12 months (lagging the S&amp;P's ~20%).</w:t>
      </w:r>
    </w:p>
    <w:p>
      <w:pPr>
        <w:pStyle w:val="Compact"/>
        <w:numPr>
          <w:ilvl w:val="0"/>
          <w:numId w:val="1005"/>
        </w:numPr>
      </w:pPr>
      <w:r>
        <w:t xml:space="preserve">Shares have been trading above the average analyst price target with a cautious consensus stance despite the stock's robust run.</w:t>
      </w:r>
    </w:p>
    <w:p>
      <w:pPr>
        <w:pStyle w:val="Compact"/>
        <w:numPr>
          <w:ilvl w:val="0"/>
          <w:numId w:val="1005"/>
        </w:numPr>
      </w:pPr>
      <w:r>
        <w:t xml:space="preserve">Options positioning implies an active setup; with a strong beat history but a headline YoY EPS decline, the reaction will hinge on</w:t>
      </w:r>
      <w:r>
        <w:t xml:space="preserve"> </w:t>
      </w:r>
      <w:r>
        <w:rPr>
          <w:b/>
          <w:bCs/>
        </w:rPr>
        <w:t xml:space="preserve">guidance tone, the active-account inflection, and consumer commentary</w:t>
      </w:r>
      <w:r>
        <w:t xml:space="preserve"> </w:t>
      </w:r>
      <w:r>
        <w:t xml:space="preserve">more than the raw number.</w:t>
      </w:r>
    </w:p>
    <w:p>
      <w:r>
        <w:pict>
          <v:rect style="width:0;height:1.5pt" o:hralign="center" o:hrstd="t" o:hr="t"/>
        </w:pict>
      </w:r>
    </w:p>
    <w:bookmarkEnd w:id="21"/>
    <w:bookmarkStart w:id="22" w:name="recent-company-news-non-earnings"/>
    <w:p>
      <w:pPr>
        <w:pStyle w:val="Heading2"/>
      </w:pPr>
      <w:r>
        <w:t xml:space="preserve">Recent Company News (non-earnings)</w:t>
      </w:r>
    </w:p>
    <w:p>
      <w:pPr>
        <w:pStyle w:val="Compact"/>
        <w:numPr>
          <w:ilvl w:val="0"/>
          <w:numId w:val="1006"/>
        </w:numPr>
      </w:pPr>
      <w:r>
        <w:rPr>
          <w:b/>
          <w:bCs/>
        </w:rPr>
        <w:t xml:space="preserve">June 29:</w:t>
      </w:r>
      <w:r>
        <w:t xml:space="preserve"> </w:t>
      </w:r>
      <w:r>
        <w:t xml:space="preserve">Executive reshuffle —</w:t>
      </w:r>
      <w:r>
        <w:t xml:space="preserve"> </w:t>
      </w:r>
      <w:r>
        <w:rPr>
          <w:b/>
          <w:bCs/>
        </w:rPr>
        <w:t xml:space="preserve">Carol Juel named CEO of the Digital platform</w:t>
      </w:r>
      <w:r>
        <w:t xml:space="preserve"> </w:t>
      </w:r>
      <w:r>
        <w:t xml:space="preserve">(succeeding retiring 35-year veteran Bart Schaller, overseeing Amazon/PayPal/Venmo/Verizon),</w:t>
      </w:r>
      <w:r>
        <w:t xml:space="preserve"> </w:t>
      </w:r>
      <w:r>
        <w:rPr>
          <w:b/>
          <w:bCs/>
        </w:rPr>
        <w:t xml:space="preserve">Florin Arghirescu promoted to CTO</w:t>
      </w:r>
      <w:r>
        <w:t xml:space="preserve"> </w:t>
      </w:r>
      <w:r>
        <w:t xml:space="preserve">(leading the AI agenda), and</w:t>
      </w:r>
      <w:r>
        <w:t xml:space="preserve"> </w:t>
      </w:r>
      <w:r>
        <w:rPr>
          <w:b/>
          <w:bCs/>
        </w:rPr>
        <w:t xml:space="preserve">DJ Casto</w:t>
      </w:r>
      <w:r>
        <w:t xml:space="preserve"> </w:t>
      </w:r>
      <w:r>
        <w:t xml:space="preserve">expanded to Chief People &amp; Operations Officer. Signals a doubling-down on digital, AI, and agentic commerce.</w:t>
      </w:r>
    </w:p>
    <w:p>
      <w:pPr>
        <w:pStyle w:val="Compact"/>
        <w:numPr>
          <w:ilvl w:val="0"/>
          <w:numId w:val="1006"/>
        </w:numPr>
      </w:pPr>
      <w:r>
        <w:rPr>
          <w:b/>
          <w:bCs/>
        </w:rPr>
        <w:t xml:space="preserve">June 25:</w:t>
      </w:r>
      <w:r>
        <w:t xml:space="preserve"> </w:t>
      </w:r>
      <w:r>
        <w:t xml:space="preserve">Annual shareholder meeting — directors elected, auditor ratified, executive pay approved (routine).</w:t>
      </w:r>
    </w:p>
    <w:p>
      <w:r>
        <w:pict>
          <v:rect style="width:0;height:1.5pt" o:hralign="center" o:hrstd="t" o:hr="t"/>
        </w:pict>
      </w:r>
    </w:p>
    <w:bookmarkEnd w:id="22"/>
    <w:bookmarkStart w:id="23" w:name="bottom-line--what-to-watch-for"/>
    <w:p>
      <w:pPr>
        <w:pStyle w:val="Heading2"/>
      </w:pPr>
      <w:r>
        <w:t xml:space="preserve">Bottom Line / What to Watch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Bullish signals</w:t>
            </w:r>
          </w:p>
        </w:tc>
        <w:tc>
          <w:tcPr/>
          <w:p>
            <w:pPr>
              <w:pStyle w:val="Compact"/>
            </w:pPr>
            <w:r>
              <w:t xml:space="preserve">Bearish/risk signals</w:t>
            </w:r>
          </w:p>
        </w:tc>
      </w:tr>
      <w:tr>
        <w:tc>
          <w:tcPr/>
          <w:p>
            <w:pPr>
              <w:pStyle w:val="Compact"/>
            </w:pPr>
            <w:r>
              <w:t xml:space="preserve">NCO below ~5.5% &amp; improving DQs</w:t>
            </w:r>
          </w:p>
        </w:tc>
        <w:tc>
          <w:tcPr/>
          <w:p>
            <w:pPr>
              <w:pStyle w:val="Compact"/>
            </w:pPr>
            <w:r>
              <w:t xml:space="preserve">Deteriorating early-stage delinquency</w:t>
            </w:r>
          </w:p>
        </w:tc>
      </w:tr>
      <w:tr>
        <w:tc>
          <w:tcPr/>
          <w:p>
            <w:pPr>
              <w:pStyle w:val="Compact"/>
            </w:pPr>
            <w:r>
              <w:t xml:space="preserve">Active accounts inflecting positive</w:t>
            </w:r>
          </w:p>
        </w:tc>
        <w:tc>
          <w:tcPr/>
          <w:p>
            <w:pPr>
              <w:pStyle w:val="Compact"/>
            </w:pPr>
            <w:r>
              <w:t xml:space="preserve">Payment rate staying elevated (caps NII)</w:t>
            </w:r>
          </w:p>
        </w:tc>
      </w:tr>
      <w:tr>
        <w:tc>
          <w:tcPr/>
          <w:p>
            <w:pPr>
              <w:pStyle w:val="Compact"/>
            </w:pPr>
            <w:r>
              <w:t xml:space="preserve">Reaffirmed/raised</w:t>
            </w:r>
            <w:r>
              <w:t xml:space="preserve"> </w:t>
            </w:r>
            <m:oMath>
              <m:r>
                <m:t>9.10</m:t>
              </m:r>
              <m:r>
                <m:rPr>
                  <m:sty m:val="p"/>
                </m:rPr>
                <m:t>–</m:t>
              </m:r>
            </m:oMath>
            <w:r>
              <w:t xml:space="preserve">9.50 EPS guide</w:t>
            </w:r>
          </w:p>
        </w:tc>
        <w:tc>
          <w:tcPr/>
          <w:p>
            <w:pPr>
              <w:pStyle w:val="Compact"/>
            </w:pPr>
            <w:r>
              <w:t xml:space="preserve">Any softening in consumer spend commentary</w:t>
            </w:r>
          </w:p>
        </w:tc>
      </w:tr>
      <w:tr>
        <w:tc>
          <w:tcPr/>
          <w:p>
            <w:pPr>
              <w:pStyle w:val="Compact"/>
            </w:pPr>
            <w:r>
              <w:t xml:space="preserve">Continued heavy buyback + dividend hike</w:t>
            </w:r>
          </w:p>
        </w:tc>
        <w:tc>
          <w:tcPr/>
          <w:p>
            <w:pPr>
              <w:pStyle w:val="Compact"/>
            </w:pPr>
            <w:r>
              <w:t xml:space="preserve">RSA rising faster than expected</w:t>
            </w:r>
          </w:p>
        </w:tc>
      </w:tr>
      <w:tr>
        <w:tc>
          <w:tcPr/>
          <w:p>
            <w:pPr>
              <w:pStyle w:val="Compact"/>
            </w:pPr>
            <w:r>
              <w:t xml:space="preserve">Constructive July spend read-through</w:t>
            </w:r>
          </w:p>
        </w:tc>
        <w:tc>
          <w:tcPr/>
          <w:p>
            <w:pPr>
              <w:pStyle w:val="Compact"/>
            </w:pPr>
            <w:r>
              <w:t xml:space="preserve">Cautious macro/reserve build language</w:t>
            </w:r>
          </w:p>
        </w:tc>
      </w:tr>
    </w:tbl>
    <w:p>
      <w:pPr>
        <w:pStyle w:val="BodyText"/>
      </w:pPr>
      <w:r>
        <w:rPr>
          <w:b/>
          <w:bCs/>
        </w:rPr>
        <w:t xml:space="preserve">Net:</w:t>
      </w:r>
      <w:r>
        <w:t xml:space="preserve"> </w:t>
      </w:r>
      <w:r>
        <w:t xml:space="preserve">Expect a headline EPS ~$2.00 that's down ~20% YoY on a tough comp but likely a modest beat given the track record. The stock's move will be dictated by three things: (1) whether the</w:t>
      </w:r>
      <w:r>
        <w:t xml:space="preserve"> </w:t>
      </w:r>
      <w:r>
        <w:rPr>
          <w:b/>
          <w:bCs/>
        </w:rPr>
        <w:t xml:space="preserve">H2 growth re-acceleration</w:t>
      </w:r>
      <w:r>
        <w:t xml:space="preserve"> </w:t>
      </w:r>
      <w:r>
        <w:t xml:space="preserve">(new programs + active-account inflection) is on track, (2)</w:t>
      </w:r>
      <w:r>
        <w:t xml:space="preserve"> </w:t>
      </w:r>
      <w:r>
        <w:rPr>
          <w:b/>
          <w:bCs/>
        </w:rPr>
        <w:t xml:space="preserve">real-time consumer health</w:t>
      </w:r>
      <w:r>
        <w:t xml:space="preserve"> </w:t>
      </w:r>
      <w:r>
        <w:t xml:space="preserve">amid the oil/inflation scare, and (3) reaffirmation of the full-year EPS guide plus the capital-return cadence. Credit strength and capital return are the reliable positives; the consumer macro is the swing factor.</w:t>
      </w:r>
    </w:p>
    <w:p>
      <w:pPr>
        <w:pStyle w:val="BodyText"/>
      </w:pPr>
      <w:r>
        <w:rPr>
          <w:i/>
          <w:iCs/>
        </w:rPr>
        <w:t xml:space="preserve">Note: Consensus figures are drawn from public analyst summaries and may vary slightly by data provider; all Q2 2026 figures are estimates until SYF reports.</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2026-07-21T00:07:35Z</dcterms:created>
  <dcterms:modified xsi:type="dcterms:W3CDTF">2026-07-21T00:07:35Z</dcterms:modified>
</cp:coreProperties>
</file>

<file path=docProps/custom.xml><?xml version="1.0" encoding="utf-8"?>
<Properties xmlns="http://schemas.openxmlformats.org/officeDocument/2006/custom-properties" xmlns:vt="http://schemas.openxmlformats.org/officeDocument/2006/docPropsVTypes"/>
</file>