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X77360cfae101b34a5fdc240f0733e4e017d714d"/>
    <w:p>
      <w:pPr>
        <w:pStyle w:val="Heading1"/>
      </w:pPr>
      <w:r>
        <w:t xml:space="preserve">Synchrony Financial (SYF) — Q2 2026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Tuesday, July 21, 2026, before market open (call likely ~8:00am ET) |</w:t>
      </w:r>
      <w:r>
        <w:t xml:space="preserve"> </w:t>
      </w:r>
      <w:r>
        <w:rPr>
          <w:b/>
          <w:bCs/>
        </w:rPr>
        <w:t xml:space="preserve">Fiscal period:</w:t>
      </w:r>
      <w:r>
        <w:t xml:space="preserve"> </w:t>
      </w:r>
      <w:r>
        <w:t xml:space="preserve">2026Q2</w:t>
      </w:r>
    </w:p>
    <w:p>
      <w:r>
        <w:pict>
          <v:rect style="width:0;height:1.5pt" o:hralign="center" o:hrstd="t" o:hr="t"/>
        </w:pict>
      </w:r>
    </w:p>
    <w:bookmarkStart w:id="9" w:name="X949bd4f4089bbaccce539b2bd28d75b85935b6a"/>
    <w:p>
      <w:pPr>
        <w:pStyle w:val="Heading2"/>
      </w:pPr>
      <w:r>
        <w:t xml:space="preserve">1. Setup Into the Print</w:t>
      </w:r>
    </w:p>
    <w:p>
      <w:pPr>
        <w:pStyle w:val="FirstParagraph"/>
      </w:pPr>
      <w:r>
        <w:t xml:space="preserve">SYF shares have pulled back from their January 2026 highs (~</w:t>
      </w:r>
      <m:oMath>
        <m:r>
          <m:t>88</m:t>
        </m:r>
        <m:r>
          <m:rPr>
            <m:sty m:val="p"/>
          </m:rPr>
          <m:t>)</m:t>
        </m:r>
        <m:r>
          <m:t>t</m:t>
        </m:r>
        <m:r>
          <m:t>o</m:t>
        </m:r>
        <m:r>
          <m:t>t</m:t>
        </m:r>
        <m:r>
          <m:t>h</m:t>
        </m:r>
        <m:r>
          <m:t>e</m:t>
        </m:r>
        <m:r>
          <m:t>l</m:t>
        </m:r>
        <m:r>
          <m:t>o</m:t>
        </m:r>
        <m:r>
          <m:t>w</m:t>
        </m:r>
        <m:r>
          <m:rPr>
            <m:sty m:val="p"/>
          </m:rPr>
          <m:t>−</m:t>
        </m:r>
      </m:oMath>
      <w:r>
        <w:t xml:space="preserve">70s heading into the print, trading around $73.43 as of July 20. The stock sold off sharply and then partially recovered around the July 8 window, and has been choppy through July alongside broader bank-earnings season volatility (Truist, Goldman and other banks beat estimates the prior week on strong trading/investment-banking results).</w:t>
      </w:r>
    </w:p>
    <w:p>
      <w:pPr>
        <w:pStyle w:val="BodyText"/>
      </w:pPr>
      <w:r>
        <w:t xml:space="preserve">Consensus expectations for Q2 2026 have been drifting lower into the print: Wall Street is generally looking for EPS in the</w:t>
      </w:r>
      <w:r>
        <w:t xml:space="preserve"> </w:t>
      </w:r>
      <w:r>
        <w:rPr>
          <w:b/>
          <w:bCs/>
        </w:rPr>
        <w:t xml:space="preserve">~</w:t>
      </w:r>
      <m:oMath>
        <m:r>
          <m:t>1.99</m:t>
        </m:r>
        <m:r>
          <m:rPr>
            <m:sty m:val="p"/>
          </m:rPr>
          <m:t>–</m:t>
        </m:r>
      </m:oMath>
      <w:r>
        <w:rPr>
          <w:b/>
          <w:bCs/>
        </w:rPr>
        <w:t xml:space="preserve">2.02</w:t>
      </w:r>
      <w:r>
        <w:t xml:space="preserve"> </w:t>
      </w:r>
      <w:r>
        <w:t xml:space="preserve">range on revenue of roughly</w:t>
      </w:r>
      <w:r>
        <w:t xml:space="preserve"> </w:t>
      </w:r>
      <w:r>
        <w:rPr>
          <w:b/>
          <w:bCs/>
        </w:rPr>
        <w:t xml:space="preserve">$4.67 billion</w:t>
      </w:r>
      <w:r>
        <w:t xml:space="preserve">, which would represent a ~19–20% year-over-year decline in EPS (Q2 2025 diluted EPS was</w:t>
      </w:r>
      <w:r>
        <w:t xml:space="preserve"> </w:t>
      </w:r>
      <m:oMath>
        <m:r>
          <m:t>2.50</m:t>
        </m:r>
        <m:r>
          <m:rPr>
            <m:sty m:val="p"/>
          </m:rPr>
          <m:t>)</m:t>
        </m:r>
        <m:r>
          <m:t>d</m:t>
        </m:r>
        <m:r>
          <m:t>e</m:t>
        </m:r>
        <m:r>
          <m:t>s</m:t>
        </m:r>
        <m:r>
          <m:t>p</m:t>
        </m:r>
        <m:r>
          <m:t>i</m:t>
        </m:r>
        <m:r>
          <m:t>t</m:t>
        </m:r>
        <m:r>
          <m:t>e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t>g</m:t>
        </m:r>
        <m:r>
          <m:t>r</m:t>
        </m:r>
        <m:r>
          <m:t>o</m:t>
        </m:r>
        <m:r>
          <m:t>w</m:t>
        </m:r>
        <m:r>
          <m:t>t</m:t>
        </m:r>
        <m:r>
          <m:t>h</m:t>
        </m:r>
        <m:r>
          <m:t>o</m:t>
        </m:r>
        <m:r>
          <m:t>f</m:t>
        </m:r>
        <m:r>
          <m:t>a</m:t>
        </m:r>
        <m:r>
          <m:t>f</m:t>
        </m:r>
        <m:r>
          <m:t>e</m:t>
        </m:r>
        <m:r>
          <m:t>w</m:t>
        </m:r>
        <m:r>
          <m:t>p</m:t>
        </m:r>
        <m:r>
          <m:t>e</m:t>
        </m:r>
        <m:r>
          <m:t>r</m:t>
        </m:r>
        <m:r>
          <m:t>c</m:t>
        </m:r>
        <m:r>
          <m:t>e</m:t>
        </m:r>
        <m:r>
          <m:t>n</m:t>
        </m:r>
        <m:r>
          <m:t>t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t>E</m:t>
        </m:r>
        <m:r>
          <m:t>P</m:t>
        </m:r>
        <m:r>
          <m:t>S</m:t>
        </m:r>
        <m:r>
          <m:t>e</m:t>
        </m:r>
        <m:r>
          <m:t>s</m:t>
        </m:r>
        <m:r>
          <m:t>t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h</m:t>
        </m:r>
        <m:r>
          <m:t>a</m:t>
        </m:r>
        <m:r>
          <m:t>s</m:t>
        </m:r>
        <m:r>
          <m:t>s</m:t>
        </m:r>
        <m:r>
          <m:t>e</m:t>
        </m:r>
        <m:r>
          <m:t>e</m:t>
        </m:r>
        <m:r>
          <m:t>n</m:t>
        </m:r>
        <m:r>
          <m:t>n</m:t>
        </m:r>
        <m:r>
          <m:t>o</m:t>
        </m:r>
        <m:r>
          <m:t>u</m:t>
        </m:r>
        <m:r>
          <m:t>p</m:t>
        </m:r>
        <m:r>
          <m:t>w</m:t>
        </m:r>
        <m:r>
          <m:t>a</m:t>
        </m:r>
        <m:r>
          <m:t>r</m:t>
        </m:r>
        <m:r>
          <m:t>d</m:t>
        </m:r>
        <m:r>
          <m:t>r</m:t>
        </m:r>
        <m:r>
          <m:t>e</m:t>
        </m:r>
        <m:r>
          <m:t>v</m:t>
        </m:r>
        <m:r>
          <m:t>i</m:t>
        </m:r>
        <m:r>
          <m:t>s</m:t>
        </m:r>
        <m:r>
          <m:t>i</m:t>
        </m:r>
        <m:r>
          <m:t>o</m:t>
        </m:r>
        <m:r>
          <m:t>n</m:t>
        </m:r>
        <m:r>
          <m:t>s</m:t>
        </m:r>
        <m:r>
          <m:t>a</m:t>
        </m:r>
        <m:r>
          <m:t>n</m:t>
        </m:r>
        <m:r>
          <m:t>d</m:t>
        </m:r>
        <m:r>
          <m:t>s</m:t>
        </m:r>
        <m:r>
          <m:t>e</m:t>
        </m:r>
        <m:r>
          <m:t>v</m:t>
        </m:r>
        <m:r>
          <m:t>e</m:t>
        </m:r>
        <m:r>
          <m:t>r</m:t>
        </m:r>
        <m:r>
          <m:t>a</m:t>
        </m:r>
        <m:r>
          <m:t>l</m:t>
        </m:r>
        <m:r>
          <m:t>d</m:t>
        </m:r>
        <m:r>
          <m:t>o</m:t>
        </m:r>
        <m:r>
          <m:t>w</m:t>
        </m:r>
        <m:r>
          <m:t>n</m:t>
        </m:r>
        <m:r>
          <m:t>w</m:t>
        </m:r>
        <m:r>
          <m:t>a</m:t>
        </m:r>
        <m:r>
          <m:t>r</m:t>
        </m:r>
        <m:r>
          <m:t>d</m:t>
        </m:r>
        <m:r>
          <m:t>r</m:t>
        </m:r>
        <m:r>
          <m:t>e</m:t>
        </m:r>
        <m:r>
          <m:t>v</m:t>
        </m:r>
        <m:r>
          <m:t>i</m:t>
        </m:r>
        <m:r>
          <m:t>s</m:t>
        </m:r>
        <m:r>
          <m:t>i</m:t>
        </m:r>
        <m:r>
          <m:t>o</m:t>
        </m:r>
        <m:r>
          <m:t>n</m:t>
        </m:r>
        <m:r>
          <m:t>s</m:t>
        </m:r>
        <m:r>
          <m:t>o</m:t>
        </m:r>
        <m:r>
          <m:t>v</m:t>
        </m:r>
        <m:r>
          <m:t>e</m:t>
        </m:r>
        <m:r>
          <m:t>r</m:t>
        </m:r>
        <m:r>
          <m:t>t</m:t>
        </m:r>
        <m:r>
          <m:t>h</m:t>
        </m:r>
        <m:r>
          <m:t>e</m:t>
        </m:r>
        <m:r>
          <m:t>p</m:t>
        </m:r>
        <m:r>
          <m:t>a</m:t>
        </m:r>
        <m:r>
          <m:t>s</m:t>
        </m:r>
        <m:r>
          <m:t>t</m:t>
        </m:r>
        <m:r>
          <m:t>30</m:t>
        </m:r>
        <m:r>
          <m:t>d</m:t>
        </m:r>
        <m:r>
          <m:t>a</m:t>
        </m:r>
        <m:r>
          <m:t>y</m:t>
        </m:r>
        <m:r>
          <m:t>s</m:t>
        </m:r>
        <m:r>
          <m:rPr>
            <m:sty m:val="p"/>
          </m:rPr>
          <m:t>.</m:t>
        </m:r>
        <m:r>
          <m:t>T</m:t>
        </m:r>
        <m:r>
          <m:t>h</m:t>
        </m:r>
        <m:r>
          <m:t>a</m:t>
        </m:r>
        <m:r>
          <m:t>t</m:t>
        </m:r>
        <m:r>
          <m:t>s</m:t>
        </m:r>
        <m:r>
          <m:t>a</m:t>
        </m:r>
        <m:r>
          <m:t>i</m:t>
        </m:r>
        <m:r>
          <m:t>d</m:t>
        </m:r>
        <m:r>
          <m:rPr>
            <m:sty m:val="p"/>
          </m:rPr>
          <m:t>,</m:t>
        </m:r>
        <m:r>
          <m:t>S</m:t>
        </m:r>
        <m:r>
          <m:t>Y</m:t>
        </m:r>
        <m:r>
          <m:t>F</m:t>
        </m:r>
        <m:r>
          <m:t>h</m:t>
        </m:r>
        <m:r>
          <m:t>a</m:t>
        </m:r>
        <m:r>
          <m:t>s</m:t>
        </m:r>
        <m:r>
          <m:t>b</m:t>
        </m:r>
        <m:r>
          <m:t>e</m:t>
        </m:r>
        <m:r>
          <m:t>a</m:t>
        </m:r>
        <m:r>
          <m:t>t</m:t>
        </m:r>
        <m:r>
          <m:t>e</m:t>
        </m:r>
        <m:r>
          <m:t>n</m:t>
        </m:r>
        <m:r>
          <m:t>c</m:t>
        </m:r>
        <m:r>
          <m:t>o</m:t>
        </m:r>
        <m:r>
          <m:t>n</m:t>
        </m:r>
        <m:r>
          <m:t>s</m:t>
        </m:r>
        <m:r>
          <m:t>e</m:t>
        </m:r>
        <m:r>
          <m:t>n</m:t>
        </m:r>
        <m:r>
          <m:t>s</m:t>
        </m:r>
        <m:r>
          <m:t>u</m:t>
        </m:r>
        <m:r>
          <m:t>s</m:t>
        </m:r>
        <m:r>
          <m:t>i</m:t>
        </m:r>
        <m:r>
          <m:t>n</m:t>
        </m:r>
        <m:r>
          <m:t>t</m:t>
        </m:r>
        <m:r>
          <m:t>h</m:t>
        </m:r>
        <m:r>
          <m:t>r</m:t>
        </m:r>
        <m:r>
          <m:t>e</m:t>
        </m:r>
        <m:r>
          <m:t>e</m:t>
        </m:r>
        <m:r>
          <m:t>o</m:t>
        </m:r>
        <m:r>
          <m:t>f</m:t>
        </m:r>
        <m:r>
          <m:t>i</m:t>
        </m:r>
        <m:r>
          <m:t>t</m:t>
        </m:r>
        <m:r>
          <m:t>s</m:t>
        </m:r>
        <m:r>
          <m:t>l</m:t>
        </m:r>
        <m:r>
          <m:t>a</m:t>
        </m:r>
        <m:r>
          <m:t>s</m:t>
        </m:r>
        <m:r>
          <m:t>t</m:t>
        </m:r>
        <m:r>
          <m:t>f</m:t>
        </m:r>
        <m:r>
          <m:t>o</m:t>
        </m:r>
        <m:r>
          <m:t>u</m:t>
        </m:r>
        <m:r>
          <m:t>r</m:t>
        </m:r>
        <m:r>
          <m:t>q</m:t>
        </m:r>
        <m:r>
          <m:t>u</m:t>
        </m:r>
        <m:r>
          <m:t>a</m:t>
        </m:r>
        <m:r>
          <m:t>r</m:t>
        </m:r>
        <m:r>
          <m:t>t</m:t>
        </m:r>
        <m:r>
          <m:t>e</m:t>
        </m:r>
        <m:r>
          <m:t>r</m:t>
        </m:r>
        <m:r>
          <m:t>s</m:t>
        </m:r>
        <m:r>
          <m:rPr>
            <m:sty m:val="p"/>
          </m:rPr>
          <m:t>(</m:t>
        </m:r>
        <m:r>
          <m:t>a</m:t>
        </m:r>
        <m:r>
          <m:t>v</m:t>
        </m:r>
        <m:r>
          <m:t>e</m:t>
        </m:r>
        <m:r>
          <m:t>r</m:t>
        </m:r>
        <m:r>
          <m:t>a</m:t>
        </m:r>
        <m:r>
          <m:t>g</m:t>
        </m:r>
        <m:r>
          <m:t>e</m:t>
        </m:r>
        <m:r>
          <m:t>s</m:t>
        </m:r>
        <m:r>
          <m:t>u</m:t>
        </m:r>
        <m:r>
          <m:t>r</m:t>
        </m:r>
        <m:r>
          <m:t>p</m:t>
        </m:r>
        <m:r>
          <m:t>r</m:t>
        </m:r>
        <m:r>
          <m:t>i</m:t>
        </m:r>
        <m:r>
          <m:t>s</m:t>
        </m:r>
        <m:r>
          <m:t>e</m:t>
        </m:r>
        <m:r>
          <m:t> </m:t>
        </m:r>
        <m:r>
          <m:t>21</m:t>
        </m:r>
      </m:oMath>
      <w:r>
        <w:t xml:space="preserve">2.27 vs. ~</w:t>
      </w:r>
      <m:oMath>
        <m:r>
          <m:t>2.14</m:t>
        </m:r>
        <m:r>
          <m:rPr>
            <m:sty m:val="p"/>
          </m:rPr>
          <m:t>−</m:t>
        </m:r>
        <m:r>
          <m:t>2.22</m:t>
        </m:r>
        <m:r>
          <m:t>e</m:t>
        </m:r>
        <m:r>
          <m:t>x</m:t>
        </m:r>
        <m:r>
          <m:t>p</m:t>
        </m:r>
        <m:r>
          <m:t>e</m:t>
        </m:r>
        <m:r>
          <m:t>c</m:t>
        </m:r>
        <m:r>
          <m:t>t</m:t>
        </m:r>
        <m:r>
          <m:t>e</m:t>
        </m:r>
        <m:r>
          <m:t>d</m:t>
        </m:r>
        <m:r>
          <m:rPr>
            <m:sty m:val="p"/>
          </m:rPr>
          <m:t>)</m:t>
        </m:r>
        <m:r>
          <m:rPr>
            <m:sty m:val="p"/>
          </m:rPr>
          <m:t>.</m:t>
        </m:r>
        <m:r>
          <m:t>A</m:t>
        </m:r>
        <m:r>
          <m:t>n</m:t>
        </m:r>
        <m:r>
          <m:t>a</m:t>
        </m:r>
        <m:r>
          <m:t>l</m:t>
        </m:r>
        <m:r>
          <m:t>y</m:t>
        </m:r>
        <m:r>
          <m:t>s</m:t>
        </m:r>
        <m:r>
          <m:t>t</m:t>
        </m:r>
        <m:r>
          <m:t>s</m:t>
        </m:r>
        <m:r>
          <m:t>e</m:t>
        </m:r>
        <m:r>
          <m:t>n</m:t>
        </m:r>
        <m:r>
          <m:t>t</m:t>
        </m:r>
        <m:r>
          <m:t>i</m:t>
        </m:r>
        <m:r>
          <m:t>m</m:t>
        </m:r>
        <m:r>
          <m:t>e</m:t>
        </m:r>
        <m:r>
          <m:t>n</m:t>
        </m:r>
        <m:r>
          <m:t>t</m:t>
        </m:r>
        <m:r>
          <m:t>r</m:t>
        </m:r>
        <m:r>
          <m:t>e</m:t>
        </m:r>
        <m:r>
          <m:t>m</m:t>
        </m:r>
        <m:r>
          <m:t>a</m:t>
        </m:r>
        <m:r>
          <m:t>i</m:t>
        </m:r>
        <m:r>
          <m:t>n</m:t>
        </m:r>
        <m:r>
          <m:t>s</m:t>
        </m:r>
        <m:r>
          <m:t>b</m:t>
        </m:r>
        <m:r>
          <m:t>r</m:t>
        </m:r>
        <m:r>
          <m:t>o</m:t>
        </m:r>
        <m:r>
          <m:t>a</m:t>
        </m:r>
        <m:r>
          <m:t>d</m:t>
        </m:r>
        <m:r>
          <m:t>l</m:t>
        </m:r>
        <m:r>
          <m:t>y</m:t>
        </m:r>
        <m:r>
          <m:t>c</m:t>
        </m:r>
        <m:r>
          <m:t>o</m:t>
        </m:r>
        <m:r>
          <m:t>n</m:t>
        </m:r>
        <m:r>
          <m:t>s</m:t>
        </m:r>
        <m:r>
          <m:t>t</m:t>
        </m:r>
        <m:r>
          <m:t>r</m:t>
        </m:r>
        <m:r>
          <m:t>u</m:t>
        </m:r>
        <m:r>
          <m:t>c</m:t>
        </m:r>
        <m:r>
          <m:t>t</m:t>
        </m:r>
        <m:r>
          <m:t>i</m:t>
        </m:r>
        <m:r>
          <m:t>v</m:t>
        </m:r>
        <m:r>
          <m:t>e</m:t>
        </m:r>
        <m:r>
          <m:rPr>
            <m:sty m:val="p"/>
          </m:rPr>
          <m:t>—</m:t>
        </m:r>
        <m:r>
          <m:t>c</m:t>
        </m:r>
        <m:r>
          <m:t>o</m:t>
        </m:r>
        <m:r>
          <m:t>n</m:t>
        </m:r>
        <m:r>
          <m:t>s</m:t>
        </m:r>
        <m:r>
          <m:t>e</m:t>
        </m:r>
        <m:r>
          <m:t>n</m:t>
        </m:r>
        <m:r>
          <m:t>s</m:t>
        </m:r>
        <m:r>
          <m:t>u</m:t>
        </m:r>
        <m:r>
          <m:t>s</m:t>
        </m:r>
        <m:r>
          <m:t>r</m:t>
        </m:r>
        <m:r>
          <m:t>a</m:t>
        </m:r>
        <m:r>
          <m:t>t</m:t>
        </m:r>
        <m:r>
          <m:t>i</m:t>
        </m:r>
        <m:r>
          <m:t>n</m:t>
        </m:r>
        <m:r>
          <m:t>g</m:t>
        </m:r>
        <m:r>
          <m:t>s</m:t>
        </m:r>
        <m:r>
          <m:t>s</m:t>
        </m:r>
        <m:r>
          <m:t>k</m:t>
        </m:r>
        <m:r>
          <m:t>e</m:t>
        </m:r>
        <m:r>
          <m:t>w</m:t>
        </m:r>
        <m:r>
          <m:t>B</m:t>
        </m:r>
        <m:r>
          <m:t>u</m:t>
        </m:r>
        <m:r>
          <m:t>y</m:t>
        </m:r>
        <m:r>
          <m:rPr>
            <m:sty m:val="p"/>
          </m:rPr>
          <m:t>/</m:t>
        </m:r>
        <m:r>
          <m:t>M</m:t>
        </m:r>
        <m:r>
          <m:t>o</m:t>
        </m:r>
        <m:r>
          <m:t>d</m:t>
        </m:r>
        <m:r>
          <m:t>e</m:t>
        </m:r>
        <m:r>
          <m:t>r</m:t>
        </m:r>
        <m:r>
          <m:t>a</m:t>
        </m:r>
        <m:r>
          <m:t>t</m:t>
        </m:r>
        <m:r>
          <m:t>e</m:t>
        </m:r>
        <m:r>
          <m:t>B</m:t>
        </m:r>
        <m:r>
          <m:t>u</m:t>
        </m:r>
        <m:r>
          <m:t>y</m:t>
        </m:r>
        <m:r>
          <m:t>w</m:t>
        </m:r>
        <m:r>
          <m:t>i</m:t>
        </m:r>
        <m:r>
          <m:t>t</m:t>
        </m:r>
        <m:r>
          <m:t>h</m:t>
        </m:r>
        <m:r>
          <m:t>a</m:t>
        </m:r>
        <m:r>
          <m:t>v</m:t>
        </m:r>
        <m:r>
          <m:t>e</m:t>
        </m:r>
        <m:r>
          <m:t>r</m:t>
        </m:r>
        <m:r>
          <m:t>a</m:t>
        </m:r>
        <m:r>
          <m:t>g</m:t>
        </m:r>
        <m:r>
          <m:t>e</m:t>
        </m:r>
        <m:r>
          <m:t>12</m:t>
        </m:r>
        <m:r>
          <m:rPr>
            <m:sty m:val="p"/>
          </m:rPr>
          <m:t>−</m:t>
        </m:r>
        <m:r>
          <m:t>m</m:t>
        </m:r>
        <m:r>
          <m:t>o</m:t>
        </m:r>
        <m:r>
          <m:t>n</m:t>
        </m:r>
        <m:r>
          <m:t>t</m:t>
        </m:r>
        <m:r>
          <m:t>h</m:t>
        </m:r>
        <m:r>
          <m:t>p</m:t>
        </m:r>
        <m:r>
          <m:t>r</m:t>
        </m:r>
        <m:r>
          <m:t>i</m:t>
        </m:r>
        <m:r>
          <m:t>c</m:t>
        </m:r>
        <m:r>
          <m:t>e</m:t>
        </m:r>
        <m:r>
          <m:t>t</m:t>
        </m:r>
        <m:r>
          <m:t>a</m:t>
        </m:r>
        <m:r>
          <m:t>r</m:t>
        </m:r>
        <m:r>
          <m:t>g</m:t>
        </m:r>
        <m:r>
          <m:t>e</m:t>
        </m:r>
        <m:r>
          <m:t>t</m:t>
        </m:r>
        <m:r>
          <m:t>s</m:t>
        </m:r>
        <m:r>
          <m:t>m</m:t>
        </m:r>
        <m:r>
          <m:t>o</m:t>
        </m:r>
        <m:r>
          <m:t>s</m:t>
        </m:r>
        <m:r>
          <m:t>t</m:t>
        </m:r>
        <m:r>
          <m:t>l</m:t>
        </m:r>
        <m:r>
          <m:t>y</m:t>
        </m:r>
        <m:r>
          <m:t>c</m:t>
        </m:r>
        <m:r>
          <m:t>l</m:t>
        </m:r>
        <m:r>
          <m:t>u</m:t>
        </m:r>
        <m:r>
          <m:t>s</m:t>
        </m:r>
        <m:r>
          <m:t>t</m:t>
        </m:r>
        <m:r>
          <m:t>e</m:t>
        </m:r>
        <m:r>
          <m:t>r</m:t>
        </m:r>
        <m:r>
          <m:t>e</m:t>
        </m:r>
        <m:r>
          <m:t>d</m:t>
        </m:r>
        <m:r>
          <m:t>i</m:t>
        </m:r>
        <m:r>
          <m:t>n</m:t>
        </m:r>
        <m:r>
          <m:t>t</m:t>
        </m:r>
        <m:r>
          <m:t>h</m:t>
        </m:r>
        <m:r>
          <m:t>e</m:t>
        </m:r>
        <m:r>
          <m:t>h</m:t>
        </m:r>
        <m:r>
          <m:t>i</m:t>
        </m:r>
        <m:r>
          <m:t>g</m:t>
        </m:r>
        <m:r>
          <m:t>h</m:t>
        </m:r>
        <m:r>
          <m:rPr>
            <m:sty m:val="p"/>
          </m:rPr>
          <m:t>−</m:t>
        </m:r>
      </m:oMath>
      <w:r>
        <w:t xml:space="preserve">80s to $90 area, implying meaningful upside from current levels (though estimates vary by data source).</w:t>
      </w:r>
    </w:p>
    <w:bookmarkEnd w:id="9"/>
    <w:bookmarkStart w:id="10" w:name="Xaf7d8a73096a4748db6822a79568c8830a00ca4"/>
    <w:p>
      <w:pPr>
        <w:pStyle w:val="Heading2"/>
      </w:pPr>
      <w:r>
        <w:t xml:space="preserve">2. Recap: Where Q1 2026 Left Off</w:t>
      </w:r>
    </w:p>
    <w:p>
      <w:pPr>
        <w:pStyle w:val="FirstParagraph"/>
      </w:pPr>
      <w:r>
        <w:t xml:space="preserve">Q1 2026 (reported April 21) set the stage for this quarter's expectations: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Purchase volume:</w:t>
      </w:r>
      <w:r>
        <w:t xml:space="preserve"> </w:t>
      </w:r>
      <w:r>
        <w:t xml:space="preserve">Record first-quarter volume of $43 billion, +6% y/y, with co-brand cards (incl. dual cards) now 51% of total volume and up 20% y/y.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Loan receivables:</w:t>
      </w:r>
      <w:r>
        <w:t xml:space="preserve"> </w:t>
      </w:r>
      <w:r>
        <w:t xml:space="preserve">Ending receivables inflected positive (+$477 million sequentially) after a long stretch of payment-rate-driven pressure, ending at $100.1 billion (flat y/y).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Margin:</w:t>
      </w:r>
      <w:r>
        <w:t xml:space="preserve"> </w:t>
      </w:r>
      <w:r>
        <w:t xml:space="preserve">Net interest margin expanded 76 bps y/y to 15.50%, powered by pricing/product actions (PPPCs) and lower funding costs.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Credit:</w:t>
      </w:r>
      <w:r>
        <w:t xml:space="preserve"> </w:t>
      </w:r>
      <w:r>
        <w:t xml:space="preserve">Net charge-offs fell 96 bps y/y to 5.42%; allowance ratio 10.42%; delinquencies roughly in line with the prior year.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Capital:</w:t>
      </w:r>
      <w:r>
        <w:t xml:space="preserve"> </w:t>
      </w:r>
      <w:r>
        <w:t xml:space="preserve">CET1 of 12.7%; $1.0 billion returned to shareholders (including $900M in buybacks); Board approved a new</w:t>
      </w:r>
      <w:r>
        <w:t xml:space="preserve"> </w:t>
      </w:r>
      <w:r>
        <w:rPr>
          <w:b/>
          <w:bCs/>
        </w:rPr>
        <w:t xml:space="preserve">open-ended $6.5 billion buyback</w:t>
      </w:r>
      <w:r>
        <w:t xml:space="preserve"> </w:t>
      </w:r>
      <w:r>
        <w:t xml:space="preserve">replacing the prior program.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Guidance (reaffirmed/framed for FY26):</w:t>
      </w:r>
      <w:r>
        <w:t xml:space="preserve"> </w:t>
      </w:r>
      <w:r>
        <w:t xml:space="preserve">Mid-single-digit ending loan receivable growth by year-end (accelerating into H2), full-year net charge-offs</w:t>
      </w:r>
      <w:r>
        <w:t xml:space="preserve"> </w:t>
      </w:r>
      <w:r>
        <w:rPr>
          <w:b/>
          <w:bCs/>
        </w:rPr>
        <w:t xml:space="preserve">below 5.5%</w:t>
      </w:r>
      <w:r>
        <w:t xml:space="preserve">, RSA within the</w:t>
      </w:r>
      <w:r>
        <w:t xml:space="preserve"> </w:t>
      </w:r>
      <w:r>
        <w:rPr>
          <w:b/>
          <w:bCs/>
        </w:rPr>
        <w:t xml:space="preserve">4.0%–4.5%</w:t>
      </w:r>
      <w:r>
        <w:t xml:space="preserve"> </w:t>
      </w:r>
      <w:r>
        <w:t xml:space="preserve">long-term range, opex growth roughly in line with receivables growth, and</w:t>
      </w:r>
      <w:r>
        <w:t xml:space="preserve"> </w:t>
      </w:r>
      <w:r>
        <w:rPr>
          <w:b/>
          <w:bCs/>
        </w:rPr>
        <w:t xml:space="preserve">full-year diluted EPS of</w:t>
      </w:r>
      <w:r>
        <w:rPr>
          <w:b/>
          <w:bCs/>
        </w:rPr>
        <w:t xml:space="preserve"> </w:t>
      </w:r>
      <m:oMath>
        <m:r>
          <m:t>9.10</m:t>
        </m:r>
        <m:r>
          <m:rPr>
            <m:sty m:val="p"/>
          </m:rPr>
          <m:t>–</m:t>
        </m:r>
      </m:oMath>
      <w:r>
        <w:rPr>
          <w:b/>
          <w:bCs/>
        </w:rPr>
        <w:t xml:space="preserve">9.50</w:t>
      </w:r>
      <w:r>
        <w:t xml:space="preserve">.</w:t>
      </w:r>
    </w:p>
    <w:bookmarkEnd w:id="10"/>
    <w:bookmarkStart w:id="11" w:name="Xf8ca1e702e1ab05f9d57f8aaff3a67c0e9e227b"/>
    <w:p>
      <w:pPr>
        <w:pStyle w:val="Heading2"/>
      </w:pPr>
      <w:r>
        <w:t xml:space="preserve">3. What to Watch in the Q2 Print</w:t>
      </w:r>
    </w:p>
    <w:p>
      <w:pPr>
        <w:pStyle w:val="FirstParagraph"/>
      </w:pPr>
      <w:r>
        <w:rPr>
          <w:b/>
          <w:bCs/>
        </w:rPr>
        <w:t xml:space="preserve">a) Loan growth cadence.</w:t>
      </w:r>
      <w:r>
        <w:t xml:space="preserve"> </w:t>
      </w:r>
      <w:r>
        <w:t xml:space="preserve">Management guided that receivables growth "should follow seasonality and accelerate as we move into the back half of the year," driven by ramping new programs — Walmart OnePay, Bob's Discount Furniture, RH, and roughly $725 million of Lowe's commercial co-brand receivables added in April. Q2 is an early read on whether that ramp is tracking, alongside new account origination growth (+15% in Q1) and average active account trends, which have been declining for six straight quarters but were expected to inflect around mid-2026.</w:t>
      </w:r>
    </w:p>
    <w:p>
      <w:pPr>
        <w:pStyle w:val="BodyText"/>
      </w:pPr>
      <w:r>
        <w:rPr>
          <w:b/>
          <w:bCs/>
        </w:rPr>
        <w:t xml:space="preserve">b) Net interest margin / payment rate.</w:t>
      </w:r>
      <w:r>
        <w:t xml:space="preserve"> </w:t>
      </w:r>
      <w:r>
        <w:t xml:space="preserve">NIM has been benefiting from prior pricing actions (PPPCs) and falling deposit/funding costs, but payment rates have been running ~50 bps above last year and &gt;100 bps above pre-pandemic levels — a mix-driven phenomenon (more super-prime, fewer big-ticket promotional balances) that management does not view as a permanent reset, but which remains a swing factor for revolve rates and NII.</w:t>
      </w:r>
    </w:p>
    <w:p>
      <w:pPr>
        <w:pStyle w:val="BodyText"/>
      </w:pPr>
      <w:r>
        <w:rPr>
          <w:b/>
          <w:bCs/>
        </w:rPr>
        <w:t xml:space="preserve">c) Credit — seasonal peak quarter.</w:t>
      </w:r>
      <w:r>
        <w:t xml:space="preserve"> </w:t>
      </w:r>
      <w:r>
        <w:t xml:space="preserve">Management explicitly guided that</w:t>
      </w:r>
      <w:r>
        <w:t xml:space="preserve"> </w:t>
      </w:r>
      <w:r>
        <w:rPr>
          <w:b/>
          <w:bCs/>
        </w:rPr>
        <w:t xml:space="preserve">net charge-offs should peak in Q2 2026</w:t>
      </w:r>
      <w:r>
        <w:t xml:space="preserve">, consistent with the historical seasonal pattern (Q2 2025 NCO was 5.70%, the highest print of that year). The key question is whether credit continues to outperform the sub-5.5% full-year framework, and whether 30+/90+ delinquency trends stay benign.</w:t>
      </w:r>
    </w:p>
    <w:p>
      <w:pPr>
        <w:pStyle w:val="BodyText"/>
      </w:pPr>
      <w:r>
        <w:rPr>
          <w:b/>
          <w:bCs/>
        </w:rPr>
        <w:t xml:space="preserve">d) RSA (retailer share arrangements) — a margin headwind embedded in the comp.</w:t>
      </w:r>
      <w:r>
        <w:t xml:space="preserve"> </w:t>
      </w:r>
      <w:r>
        <w:t xml:space="preserve">Consensus modeling flags RSA increasing roughly 10% year-over-year in Q2, reflecting stronger program performance (lower losses, higher NII) shared back with retail partners — a structural feature of SYF's model that dampens the EPS flow-through from better credit and volume.</w:t>
      </w:r>
    </w:p>
    <w:p>
      <w:pPr>
        <w:pStyle w:val="BodyText"/>
      </w:pPr>
      <w:r>
        <w:rPr>
          <w:b/>
          <w:bCs/>
        </w:rPr>
        <w:t xml:space="preserve">e) Expense growth.</w:t>
      </w:r>
      <w:r>
        <w:t xml:space="preserve"> </w:t>
      </w:r>
      <w:r>
        <w:t xml:space="preserve">Q1 other expense rose 6% y/y (8% on an adjusted basis), driven by technology/cloud investment, Visa/Mastercard association fees tied to co-brand volume growth, and some idiosyncratic operational losses. Management guided expense growth to track loan-receivable growth for the year — watch whether the idiosyncratic Q1 items rolled off as promised.</w:t>
      </w:r>
    </w:p>
    <w:p>
      <w:pPr>
        <w:pStyle w:val="BodyText"/>
      </w:pPr>
      <w:r>
        <w:rPr>
          <w:b/>
          <w:bCs/>
        </w:rPr>
        <w:t xml:space="preserve">f) Capital return pace.</w:t>
      </w:r>
      <w:r>
        <w:t xml:space="preserve"> </w:t>
      </w:r>
      <w:r>
        <w:t xml:space="preserve">With the new</w:t>
      </w:r>
      <w:r>
        <w:t xml:space="preserve"> </w:t>
      </w:r>
      <m:oMath>
        <m:r>
          <m:t>6.5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p</m:t>
        </m:r>
        <m:r>
          <m:t>e</m:t>
        </m:r>
        <m:r>
          <m:t>n</m:t>
        </m:r>
        <m:r>
          <m:rPr>
            <m:sty m:val="p"/>
          </m:rPr>
          <m:t>−</m:t>
        </m:r>
        <m:r>
          <m:t>e</m:t>
        </m:r>
        <m:r>
          <m:t>n</m:t>
        </m:r>
        <m:r>
          <m:t>d</m:t>
        </m:r>
        <m:r>
          <m:t>e</m:t>
        </m:r>
        <m:r>
          <m:t>d</m:t>
        </m:r>
        <m:r>
          <m:t>b</m:t>
        </m:r>
        <m:r>
          <m:t>u</m:t>
        </m:r>
        <m:r>
          <m:t>y</m:t>
        </m:r>
        <m:r>
          <m:t>b</m:t>
        </m:r>
        <m:r>
          <m:t>a</m:t>
        </m:r>
        <m:r>
          <m:t>c</m:t>
        </m:r>
        <m:r>
          <m:t>k</m:t>
        </m:r>
        <m:r>
          <m:t>j</m:t>
        </m:r>
        <m:r>
          <m:t>u</m:t>
        </m:r>
        <m:r>
          <m:t>s</m:t>
        </m:r>
        <m:r>
          <m:t>t</m:t>
        </m:r>
        <m:r>
          <m:t>u</m:t>
        </m:r>
        <m:r>
          <m:t>n</m:t>
        </m:r>
        <m:r>
          <m:t>d</m:t>
        </m:r>
        <m:r>
          <m:t>e</m:t>
        </m:r>
        <m:r>
          <m:t>r</m:t>
        </m:r>
        <m:r>
          <m:t>w</m:t>
        </m:r>
        <m:r>
          <m:t>a</m:t>
        </m:r>
        <m:r>
          <m:t>y</m:t>
        </m:r>
        <m:r>
          <m:rPr>
            <m:sty m:val="p"/>
          </m:rPr>
          <m:t>(</m:t>
        </m:r>
        <m:r>
          <m:t>s</m:t>
        </m:r>
        <m:r>
          <m:t>t</m:t>
        </m:r>
        <m:r>
          <m:t>a</m:t>
        </m:r>
        <m:r>
          <m:t>r</m:t>
        </m:r>
        <m:r>
          <m:t>t</m:t>
        </m:r>
        <m:r>
          <m:t>e</m:t>
        </m:r>
        <m:r>
          <m:t>d</m:t>
        </m:r>
        <m:r>
          <m:t>Q</m:t>
        </m:r>
        <m:r>
          <m:t>2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t</m:t>
        </m:r>
        <m:r>
          <m:t>h</m:t>
        </m:r>
        <m:r>
          <m:t>e</m:t>
        </m:r>
        <m:r>
          <m:t>m</m:t>
        </m:r>
        <m:r>
          <m:t>a</m:t>
        </m:r>
        <m:r>
          <m:t>r</m:t>
        </m:r>
        <m:r>
          <m:t>k</m:t>
        </m:r>
        <m:r>
          <m:t>e</m:t>
        </m:r>
        <m:r>
          <m:t>t</m:t>
        </m:r>
        <m:r>
          <m:t>w</m:t>
        </m:r>
        <m:r>
          <m:t>i</m:t>
        </m:r>
        <m:r>
          <m:t>l</m:t>
        </m:r>
        <m:r>
          <m:t>l</m:t>
        </m:r>
        <m:r>
          <m:t>w</m:t>
        </m:r>
        <m:r>
          <m:t>a</m:t>
        </m:r>
        <m:r>
          <m:t>t</m:t>
        </m:r>
        <m:r>
          <m:t>c</m:t>
        </m:r>
        <m:r>
          <m:t>h</m:t>
        </m:r>
        <m:r>
          <m:t>r</m:t>
        </m:r>
        <m:r>
          <m:t>e</m:t>
        </m:r>
        <m:r>
          <m:t>p</m:t>
        </m:r>
        <m:r>
          <m:t>u</m:t>
        </m:r>
        <m:r>
          <m:t>r</m:t>
        </m:r>
        <m:r>
          <m:t>c</m:t>
        </m:r>
        <m:r>
          <m:t>h</m:t>
        </m:r>
        <m:r>
          <m:t>a</m:t>
        </m:r>
        <m:r>
          <m:t>s</m:t>
        </m:r>
        <m:r>
          <m:t>e</m:t>
        </m:r>
        <m:r>
          <m:t>p</m:t>
        </m:r>
        <m:r>
          <m:t>a</m:t>
        </m:r>
        <m:r>
          <m:t>c</m:t>
        </m:r>
        <m:r>
          <m:t>e</m:t>
        </m:r>
        <m:r>
          <m:rPr>
            <m:sty m:val="p"/>
          </m:rPr>
          <m:t>(</m:t>
        </m:r>
        <m:r>
          <m:t> </m:t>
        </m:r>
      </m:oMath>
      <w:r>
        <w:t xml:space="preserve">900M/quarter over the past several quarters) and any capital-allocation commentary tied to CET1 (12.7% at Q1), the Basel III Endgame re-proposal, and potential M&amp;A versus buybacks.</w:t>
      </w:r>
    </w:p>
    <w:p>
      <w:pPr>
        <w:pStyle w:val="BodyText"/>
      </w:pPr>
      <w:r>
        <w:rPr>
          <w:b/>
          <w:bCs/>
        </w:rPr>
        <w:t xml:space="preserve">g) Regulatory overhang.</w:t>
      </w:r>
      <w:r>
        <w:t xml:space="preserve"> </w:t>
      </w:r>
      <w:r>
        <w:t xml:space="preserve">Two threads matter: (1) Basel III Endgame — management has said the standardized approach would be a net positive (~125–150 bps of CET1 relief) while the enhanced risk-based approach could be a net negative given open-to-buy and operational-risk charges; and (2) the CFPB has recently signaled it may revisit credit-card late-fee regulation (after abandoning the $8 safe-harbor rule in 2025) — a modest but watchable headline risk for a private-label/store-card issuer like Synchrony.</w:t>
      </w:r>
    </w:p>
    <w:p>
      <w:pPr>
        <w:pStyle w:val="BodyText"/>
      </w:pPr>
      <w:r>
        <w:rPr>
          <w:b/>
          <w:bCs/>
        </w:rPr>
        <w:t xml:space="preserve">h) Leadership/organizational changes.</w:t>
      </w:r>
      <w:r>
        <w:t xml:space="preserve"> </w:t>
      </w:r>
      <w:r>
        <w:t xml:space="preserve">On June 29, 2026, Synchrony announced Carol Juel (previously EVP, Chief Technology &amp; Operating Officer) will become CEO of the Digital platform, succeeding retiring Bart Schaller, alongside a reshuffle naming Florin Arghirescu as Chief Technology Officer and DJ Casto as Chief People and Operations Officer. Expect questions on continuity of the Digital platform's growth (Digital purchase volume +8% in Q1) and the AI/agentic-commerce roadmap Brian Doubles has emphasized as a strategic priority.</w:t>
      </w:r>
    </w:p>
    <w:p>
      <w:pPr>
        <w:pStyle w:val="BodyText"/>
      </w:pPr>
      <w:r>
        <w:rPr>
          <w:b/>
          <w:bCs/>
        </w:rPr>
        <w:t xml:space="preserve">i) Consumer health commentary.</w:t>
      </w:r>
      <w:r>
        <w:t xml:space="preserve"> </w:t>
      </w:r>
      <w:r>
        <w:t xml:space="preserve">Q1 commentary described a resilient consumer with accelerating discretionary spend (retail, entertainment, electronics) even as gas prices rose and tax-refund tailwinds faded; watch for updated read-through on inflation, tariffs, and labor-market conditions into Q2/Q3.</w:t>
      </w:r>
    </w:p>
    <w:bookmarkEnd w:id="11"/>
    <w:bookmarkStart w:id="12" w:name="X0f0d1fa20e84525b48c8cdef5684ff10c9be07e"/>
    <w:p>
      <w:pPr>
        <w:pStyle w:val="Heading2"/>
      </w:pPr>
      <w:r>
        <w:t xml:space="preserve">4. Quarterly Trend Snapshot (from SYF financial disclosures)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Q2'25</w:t>
            </w:r>
          </w:p>
        </w:tc>
        <w:tc>
          <w:tcPr/>
          <w:p>
            <w:pPr>
              <w:pStyle w:val="Compact"/>
            </w:pPr>
            <w:r>
              <w:t xml:space="preserve">Q3'25</w:t>
            </w:r>
          </w:p>
        </w:tc>
        <w:tc>
          <w:tcPr/>
          <w:p>
            <w:pPr>
              <w:pStyle w:val="Compact"/>
            </w:pPr>
            <w:r>
              <w:t xml:space="preserve">Q4'25</w:t>
            </w:r>
          </w:p>
        </w:tc>
        <w:tc>
          <w:tcPr/>
          <w:p>
            <w:pPr>
              <w:pStyle w:val="Compact"/>
            </w:pPr>
            <w:r>
              <w:t xml:space="preserve">Q1'26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$2.50</w:t>
            </w:r>
          </w:p>
        </w:tc>
        <w:tc>
          <w:tcPr/>
          <w:p>
            <w:pPr>
              <w:pStyle w:val="Compact"/>
            </w:pPr>
            <w:r>
              <w:t xml:space="preserve">$2.86</w:t>
            </w:r>
          </w:p>
        </w:tc>
        <w:tc>
          <w:tcPr/>
          <w:p>
            <w:pPr>
              <w:pStyle w:val="Compact"/>
            </w:pPr>
            <w:r>
              <w:t xml:space="preserve">$2.04</w:t>
            </w:r>
          </w:p>
        </w:tc>
        <w:tc>
          <w:tcPr/>
          <w:p>
            <w:pPr>
              <w:pStyle w:val="Compact"/>
            </w:pPr>
            <w:r>
              <w:t xml:space="preserve">$2.27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interest margin</w:t>
            </w:r>
          </w:p>
        </w:tc>
        <w:tc>
          <w:tcPr/>
          <w:p>
            <w:pPr>
              <w:pStyle w:val="Compact"/>
            </w:pPr>
            <w:r>
              <w:t xml:space="preserve">14.78%</w:t>
            </w:r>
          </w:p>
        </w:tc>
        <w:tc>
          <w:tcPr/>
          <w:p>
            <w:pPr>
              <w:pStyle w:val="Compact"/>
            </w:pPr>
            <w:r>
              <w:t xml:space="preserve">15.62%</w:t>
            </w:r>
          </w:p>
        </w:tc>
        <w:tc>
          <w:tcPr/>
          <w:p>
            <w:pPr>
              <w:pStyle w:val="Compact"/>
            </w:pPr>
            <w:r>
              <w:t xml:space="preserve">15.83%</w:t>
            </w:r>
          </w:p>
        </w:tc>
        <w:tc>
          <w:tcPr/>
          <w:p>
            <w:pPr>
              <w:pStyle w:val="Compact"/>
            </w:pPr>
            <w:r>
              <w:t xml:space="preserve">15.50%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charge-off rate</w:t>
            </w:r>
          </w:p>
        </w:tc>
        <w:tc>
          <w:tcPr/>
          <w:p>
            <w:pPr>
              <w:pStyle w:val="Compact"/>
            </w:pPr>
            <w:r>
              <w:t xml:space="preserve">5.70%</w:t>
            </w:r>
          </w:p>
        </w:tc>
        <w:tc>
          <w:tcPr/>
          <w:p>
            <w:pPr>
              <w:pStyle w:val="Compact"/>
            </w:pPr>
            <w:r>
              <w:t xml:space="preserve">5.16%</w:t>
            </w:r>
          </w:p>
        </w:tc>
        <w:tc>
          <w:tcPr/>
          <w:p>
            <w:pPr>
              <w:pStyle w:val="Compact"/>
            </w:pPr>
            <w:r>
              <w:t xml:space="preserve">5.37%</w:t>
            </w:r>
          </w:p>
        </w:tc>
        <w:tc>
          <w:tcPr/>
          <w:p>
            <w:pPr>
              <w:pStyle w:val="Compact"/>
            </w:pPr>
            <w:r>
              <w:t xml:space="preserve">5.42%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Efficiency ratio</w:t>
            </w:r>
          </w:p>
        </w:tc>
        <w:tc>
          <w:tcPr/>
          <w:p>
            <w:pPr>
              <w:pStyle w:val="Compact"/>
            </w:pPr>
            <w:r>
              <w:t xml:space="preserve">34.1%</w:t>
            </w:r>
          </w:p>
        </w:tc>
        <w:tc>
          <w:tcPr/>
          <w:p>
            <w:pPr>
              <w:pStyle w:val="Compact"/>
            </w:pPr>
            <w:r>
              <w:t xml:space="preserve">32.6%</w:t>
            </w:r>
          </w:p>
        </w:tc>
        <w:tc>
          <w:tcPr/>
          <w:p>
            <w:pPr>
              <w:pStyle w:val="Compact"/>
            </w:pPr>
            <w:r>
              <w:t xml:space="preserve">36.9%</w:t>
            </w:r>
          </w:p>
        </w:tc>
        <w:tc>
          <w:tcPr/>
          <w:p>
            <w:pPr>
              <w:pStyle w:val="Compact"/>
            </w:pPr>
            <w:r>
              <w:t xml:space="preserve">35.6%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Ending loan receivables</w:t>
            </w:r>
          </w:p>
        </w:tc>
        <w:tc>
          <w:tcPr/>
          <w:p>
            <w:pPr>
              <w:pStyle w:val="Compact"/>
            </w:pPr>
            <w:r>
              <w:t xml:space="preserve">$99.8B</w:t>
            </w:r>
          </w:p>
        </w:tc>
        <w:tc>
          <w:tcPr/>
          <w:p>
            <w:pPr>
              <w:pStyle w:val="Compact"/>
            </w:pPr>
            <w:r>
              <w:t xml:space="preserve">$100.2B</w:t>
            </w:r>
          </w:p>
        </w:tc>
        <w:tc>
          <w:tcPr/>
          <w:p>
            <w:pPr>
              <w:pStyle w:val="Compact"/>
            </w:pPr>
            <w:r>
              <w:t xml:space="preserve">$103.8B</w:t>
            </w:r>
          </w:p>
        </w:tc>
        <w:tc>
          <w:tcPr/>
          <w:p>
            <w:pPr>
              <w:pStyle w:val="Compact"/>
            </w:pPr>
            <w:r>
              <w:t xml:space="preserve">$100.1B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Purchase volume</w:t>
            </w:r>
          </w:p>
        </w:tc>
        <w:tc>
          <w:tcPr/>
          <w:p>
            <w:pPr>
              <w:pStyle w:val="Compact"/>
            </w:pPr>
            <w:r>
              <w:t xml:space="preserve">$46.1B</w:t>
            </w:r>
          </w:p>
        </w:tc>
        <w:tc>
          <w:tcPr/>
          <w:p>
            <w:pPr>
              <w:pStyle w:val="Compact"/>
            </w:pPr>
            <w:r>
              <w:t xml:space="preserve">$46.0B</w:t>
            </w:r>
          </w:p>
        </w:tc>
        <w:tc>
          <w:tcPr/>
          <w:p>
            <w:pPr>
              <w:pStyle w:val="Compact"/>
            </w:pPr>
            <w:r>
              <w:t xml:space="preserve">$49.5B</w:t>
            </w:r>
          </w:p>
        </w:tc>
        <w:tc>
          <w:tcPr/>
          <w:p>
            <w:pPr>
              <w:pStyle w:val="Compact"/>
            </w:pPr>
            <w:r>
              <w:t xml:space="preserve">$43.0B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CET1 ratio</w:t>
            </w:r>
          </w:p>
        </w:tc>
        <w:tc>
          <w:tcPr/>
          <w:p>
            <w:pPr>
              <w:pStyle w:val="Compact"/>
            </w:pPr>
            <w:r>
              <w:t xml:space="preserve">13.6%</w:t>
            </w:r>
          </w:p>
        </w:tc>
        <w:tc>
          <w:tcPr/>
          <w:p>
            <w:pPr>
              <w:pStyle w:val="Compact"/>
            </w:pPr>
            <w:r>
              <w:t xml:space="preserve">13.7%</w:t>
            </w:r>
          </w:p>
        </w:tc>
        <w:tc>
          <w:tcPr/>
          <w:p>
            <w:pPr>
              <w:pStyle w:val="Compact"/>
            </w:pPr>
            <w:r>
              <w:t xml:space="preserve">12.6%</w:t>
            </w:r>
          </w:p>
        </w:tc>
        <w:tc>
          <w:tcPr/>
          <w:p>
            <w:pPr>
              <w:pStyle w:val="Compact"/>
            </w:pPr>
            <w:r>
              <w:t xml:space="preserve">12.7%</w:t>
            </w:r>
          </w:p>
        </w:tc>
      </w:tr>
    </w:tbl>
    <w:bookmarkEnd w:id="12"/>
    <w:bookmarkStart w:id="13" w:name="Xf844a0d76efbb8af3cafae9033f4981a9d7cde3"/>
    <w:p>
      <w:pPr>
        <w:pStyle w:val="Heading2"/>
      </w:pPr>
      <w:r>
        <w:t xml:space="preserve">5. Bull / Bear Framing</w:t>
      </w:r>
    </w:p>
    <w:p>
      <w:pPr>
        <w:pStyle w:val="FirstParagraph"/>
      </w:pPr>
      <w:r>
        <w:rPr>
          <w:b/>
          <w:bCs/>
        </w:rPr>
        <w:t xml:space="preserve">Bull case:</w:t>
      </w:r>
      <w:r>
        <w:t xml:space="preserve"> </w:t>
      </w:r>
      <w:r>
        <w:t xml:space="preserve">Purchase volume momentum is accelerating (record Q1), the new-partner pipeline (Walmart OnePay, RH, Lowe's Commercial, Bob's) should drive H2 receivables acceleration, credit continues to run better than the long-term target, capital return is being turbocharged via the new $6.5B buyback, and Basel III standardized-approach relief could free up further capital. Management also highlighted early-mover positioning in agentic commerce as a longer-term optionality.</w:t>
      </w:r>
    </w:p>
    <w:p>
      <w:pPr>
        <w:pStyle w:val="BodyText"/>
      </w:pPr>
      <w:r>
        <w:rPr>
          <w:b/>
          <w:bCs/>
        </w:rPr>
        <w:t xml:space="preserve">Bear case:</w:t>
      </w:r>
      <w:r>
        <w:t xml:space="preserve"> </w:t>
      </w:r>
      <w:r>
        <w:t xml:space="preserve">EPS is expected down sharply year-over-year on rising RSA and expense growth even as credit and volume improve — a reminder that SYF's partner-sharing model caps upside flow-through. Payment-rate normalization, muted average active accounts, and a still-uncertain macro backdrop (tariffs, gas prices, potential CFPB late-fee re-regulation) are watch items, and consensus estimates have been trending down into the quarter.</w:t>
      </w:r>
    </w:p>
    <w:bookmarkEnd w:id="13"/>
    <w:bookmarkStart w:id="14" w:name="Xd4bf6205a9bfa183b58f00ca467c208cbf0bac7"/>
    <w:p>
      <w:pPr>
        <w:pStyle w:val="Heading2"/>
      </w:pPr>
      <w:r>
        <w:t xml:space="preserve">6. Bottom Line for Investors</w:t>
      </w:r>
    </w:p>
    <w:p>
      <w:pPr>
        <w:pStyle w:val="FirstParagraph"/>
      </w:pPr>
      <w:r>
        <w:t xml:space="preserve">Going into Tuesday's print, the key swing factors are less about the level of the beat/miss versus the ~</w:t>
      </w:r>
      <m:oMath>
        <m:r>
          <m:t>2.00</m:t>
        </m:r>
        <m:r>
          <m:t>c</m:t>
        </m:r>
        <m:r>
          <m:t>o</m:t>
        </m:r>
        <m:r>
          <m:t>n</m:t>
        </m:r>
        <m:r>
          <m:t>s</m:t>
        </m:r>
        <m:r>
          <m:t>e</m:t>
        </m:r>
        <m:r>
          <m:t>n</m:t>
        </m:r>
        <m:r>
          <m:t>s</m:t>
        </m:r>
        <m:r>
          <m:t>u</m:t>
        </m:r>
        <m:r>
          <m:t>s</m:t>
        </m:r>
        <m:r>
          <m:t>E</m:t>
        </m:r>
        <m:r>
          <m:t>P</m:t>
        </m:r>
        <m:r>
          <m:t>S</m:t>
        </m:r>
        <m:r>
          <m:t>a</m:t>
        </m:r>
        <m:r>
          <m:t>n</m:t>
        </m:r>
        <m:r>
          <m:t>d</m:t>
        </m:r>
        <m:r>
          <m:t>m</m:t>
        </m:r>
        <m:r>
          <m:t>o</m:t>
        </m:r>
        <m:r>
          <m:t>r</m:t>
        </m:r>
        <m:r>
          <m:t>e</m:t>
        </m:r>
        <m:r>
          <m:t>a</m:t>
        </m:r>
        <m:r>
          <m:t>b</m:t>
        </m:r>
        <m:r>
          <m:t>o</m:t>
        </m:r>
        <m:r>
          <m:t>u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sSup>
          <m:e>
            <m:r>
              <m:t>t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c</m:t>
        </m:r>
        <m:r>
          <m:t>o</m:t>
        </m:r>
        <m:r>
          <m:t>n</m:t>
        </m:r>
        <m:r>
          <m:t>f</m:t>
        </m:r>
        <m:r>
          <m:t>i</m:t>
        </m:r>
        <m:r>
          <m:t>d</m:t>
        </m:r>
        <m:r>
          <m:t>e</m:t>
        </m:r>
        <m:r>
          <m:t>n</m:t>
        </m:r>
        <m:r>
          <m:t>c</m:t>
        </m:r>
        <m:r>
          <m:t>e</m:t>
        </m:r>
        <m:r>
          <m:t>i</m:t>
        </m:r>
        <m:r>
          <m:t>n</m:t>
        </m:r>
        <m:r>
          <m:t>t</m:t>
        </m:r>
        <m:r>
          <m:t>h</m:t>
        </m:r>
        <m:r>
          <m:t>e</m:t>
        </m:r>
        <m:r>
          <m:t>H</m:t>
        </m:r>
        <m:r>
          <m:t>2</m:t>
        </m:r>
        <m:r>
          <m:t>l</m:t>
        </m:r>
        <m:r>
          <m:t>o</m:t>
        </m:r>
        <m:r>
          <m:t>a</m:t>
        </m:r>
        <m:r>
          <m:t>n</m:t>
        </m:r>
        <m:r>
          <m:rPr>
            <m:sty m:val="p"/>
          </m:rPr>
          <m:t>−</m:t>
        </m:r>
        <m:r>
          <m:t>g</m:t>
        </m:r>
        <m:r>
          <m:t>r</m:t>
        </m:r>
        <m:r>
          <m:t>o</m:t>
        </m:r>
        <m:r>
          <m:t>w</m:t>
        </m:r>
        <m:r>
          <m:t>t</m:t>
        </m:r>
        <m:r>
          <m:t>h</m:t>
        </m:r>
        <m:r>
          <m:t>a</m:t>
        </m:r>
        <m:r>
          <m:t>c</m:t>
        </m:r>
        <m:r>
          <m:t>c</m:t>
        </m:r>
        <m:r>
          <m:t>e</m:t>
        </m:r>
        <m:r>
          <m:t>l</m:t>
        </m:r>
        <m:r>
          <m:t>e</m:t>
        </m:r>
        <m:r>
          <m:t>r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s</m:t>
        </m:r>
        <m:r>
          <m:t>t</m:t>
        </m:r>
        <m:r>
          <m:t>o</m:t>
        </m:r>
        <m:r>
          <m:t>r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t</m:t>
        </m:r>
        <m:r>
          <m:t>h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t</m:t>
        </m:r>
        <m:r>
          <m:t>r</m:t>
        </m:r>
        <m:r>
          <m:t>a</m:t>
        </m:r>
        <m:r>
          <m:t>j</m:t>
        </m:r>
        <m:r>
          <m:t>e</m:t>
        </m:r>
        <m:r>
          <m:t>c</m:t>
        </m:r>
        <m:r>
          <m:t>t</m:t>
        </m:r>
        <m:r>
          <m:t>o</m:t>
        </m:r>
        <m:r>
          <m:t>r</m:t>
        </m:r>
        <m:r>
          <m:t>y</m:t>
        </m:r>
        <m:r>
          <m:t>o</m:t>
        </m:r>
        <m:r>
          <m:t>f</m:t>
        </m:r>
        <m:r>
          <m:t>n</m:t>
        </m:r>
        <m:r>
          <m:t>e</m:t>
        </m:r>
        <m:r>
          <m:t>t</m:t>
        </m:r>
        <m:r>
          <m:t>c</m:t>
        </m:r>
        <m:r>
          <m:t>h</m:t>
        </m:r>
        <m:r>
          <m:t>a</m:t>
        </m:r>
        <m:r>
          <m:t>r</m:t>
        </m:r>
        <m:r>
          <m:t>g</m:t>
        </m:r>
        <m:r>
          <m:t>e</m:t>
        </m:r>
        <m:r>
          <m:rPr>
            <m:sty m:val="p"/>
          </m:rPr>
          <m:t>−</m:t>
        </m:r>
        <m:r>
          <m:t>o</m:t>
        </m:r>
        <m:r>
          <m:t>f</m:t>
        </m:r>
        <m:r>
          <m:t>f</m:t>
        </m:r>
        <m:r>
          <m:t>s</m:t>
        </m:r>
        <m:r>
          <m:t>a</m:t>
        </m:r>
        <m:r>
          <m:t>t</m:t>
        </m:r>
        <m:r>
          <m:t>t</m:t>
        </m:r>
        <m:r>
          <m:t>h</m:t>
        </m:r>
        <m:r>
          <m:t>e</m:t>
        </m:r>
        <m:r>
          <m:t>i</m:t>
        </m:r>
        <m:r>
          <m:t>r</m:t>
        </m:r>
        <m:r>
          <m:t>s</m:t>
        </m:r>
        <m:r>
          <m:t>e</m:t>
        </m:r>
        <m:r>
          <m:t>a</m:t>
        </m:r>
        <m:r>
          <m:t>s</m:t>
        </m:r>
        <m:r>
          <m:t>o</m:t>
        </m:r>
        <m:r>
          <m:t>n</m:t>
        </m:r>
        <m:r>
          <m:t>a</m:t>
        </m:r>
        <m:r>
          <m:t>l</m:t>
        </m:r>
        <m:r>
          <m:t>Q</m:t>
        </m:r>
        <m:r>
          <m:t>2</m:t>
        </m:r>
        <m:r>
          <m:t>p</m:t>
        </m:r>
        <m:r>
          <m:t>e</m:t>
        </m:r>
        <m:r>
          <m:t>a</m:t>
        </m:r>
        <m:r>
          <m:t>k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y</m:t>
        </m:r>
        <m:r>
          <m:t>u</m:t>
        </m:r>
        <m:r>
          <m:t>p</m:t>
        </m:r>
        <m:r>
          <m:t>d</m:t>
        </m:r>
        <m:r>
          <m:t>a</m:t>
        </m:r>
        <m:r>
          <m:t>t</m:t>
        </m:r>
        <m:r>
          <m:t>e</m:t>
        </m:r>
        <m:r>
          <m:t>t</m:t>
        </m:r>
        <m:r>
          <m:t>o</m:t>
        </m:r>
        <m:r>
          <m:t>t</m:t>
        </m:r>
        <m:r>
          <m:t>h</m:t>
        </m:r>
        <m:r>
          <m:t>e</m:t>
        </m:r>
        <m:r>
          <m:t>F</m:t>
        </m:r>
        <m:r>
          <m:t>Y</m:t>
        </m:r>
        <m:r>
          <m:t>26</m:t>
        </m:r>
        <m:r>
          <m:t>E</m:t>
        </m:r>
        <m:r>
          <m:t>P</m:t>
        </m:r>
        <m:r>
          <m:t>S</m:t>
        </m:r>
        <m:r>
          <m:t>g</m:t>
        </m:r>
        <m:r>
          <m:t>u</m:t>
        </m:r>
        <m:r>
          <m:t>i</m:t>
        </m:r>
        <m:r>
          <m:t>d</m:t>
        </m:r>
        <m:r>
          <m:t>a</m:t>
        </m:r>
        <m:r>
          <m:t>n</m:t>
        </m:r>
        <m:r>
          <m:t>c</m:t>
        </m:r>
        <m:r>
          <m:t>e</m:t>
        </m:r>
        <m:r>
          <m:t>r</m:t>
        </m:r>
        <m:r>
          <m:t>a</m:t>
        </m:r>
        <m:r>
          <m:t>n</m:t>
        </m:r>
        <m:r>
          <m:t>g</m:t>
        </m:r>
        <m:r>
          <m:t>e</m:t>
        </m:r>
        <m:r>
          <m:rPr>
            <m:sty m:val="p"/>
          </m:rPr>
          <m:t>(</m:t>
        </m:r>
      </m:oMath>
      <w:r>
        <w:t xml:space="preserve">9.10–$9.50)**. Commentary on buyback pace under the new open-ended $6.5B program and any incremental color on Basel III Endgame capital relief will also be closely watched by investors positioning around SYF's valuation, which still sits well below where sell-side price targets suggest fair value.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2026-07-21T00:10:56Z</dcterms:created>
  <dcterms:modified xsi:type="dcterms:W3CDTF">2026-07-21T00:10:56Z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