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08eed43c21b5bfa7c9b60949eade761d590ea7"/>
    <w:p>
      <w:pPr>
        <w:pStyle w:val="Heading1"/>
      </w:pPr>
      <w:r>
        <w:t xml:space="preserve">Synchrony Financial (SYF) — 2Q26 Earnings Preview</w:t>
      </w:r>
    </w:p>
    <w:p>
      <w:pPr>
        <w:pStyle w:val="FirstParagraph"/>
      </w:pPr>
      <w:r>
        <w:rPr>
          <w:b/>
          <w:bCs/>
        </w:rPr>
        <w:t xml:space="preserve">Reporting:</w:t>
      </w:r>
      <w:r>
        <w:t xml:space="preserve"> </w:t>
      </w:r>
      <w:r>
        <w:t xml:space="preserve">Tuesday, July 21, 2026</w:t>
      </w:r>
      <w:r>
        <w:br/>
      </w:r>
      <w:r>
        <w:rPr>
          <w:b/>
          <w:bCs/>
        </w:rPr>
        <w:t xml:space="preserve">Event:</w:t>
      </w:r>
      <w:r>
        <w:t xml:space="preserve"> </w:t>
      </w:r>
      <w:r>
        <w:t xml:space="preserve">2026Q2 earnings call</w:t>
      </w:r>
      <w:r>
        <w:br/>
      </w:r>
      <w:r>
        <w:rPr>
          <w:b/>
          <w:bCs/>
        </w:rPr>
        <w:t xml:space="preserve">SYF closing price, July 20:</w:t>
      </w:r>
      <w:r>
        <w:t xml:space="preserve"> </w:t>
      </w:r>
      <w:r>
        <w:rPr>
          <w:b/>
          <w:bCs/>
        </w:rPr>
        <w:t xml:space="preserve">$73.43</w:t>
      </w:r>
    </w:p>
    <w:bookmarkStart w:id="9" w:name="investment-setup"/>
    <w:p>
      <w:pPr>
        <w:pStyle w:val="Heading2"/>
      </w:pPr>
      <w:r>
        <w:t xml:space="preserve">Investment setup</w:t>
      </w:r>
    </w:p>
    <w:p>
      <w:pPr>
        <w:pStyle w:val="FirstParagraph"/>
      </w:pPr>
      <w:r>
        <w:t xml:space="preserve">Synchrony enters the quarter with an encouraging combination of</w:t>
      </w:r>
      <w:r>
        <w:t xml:space="preserve"> </w:t>
      </w:r>
      <w:r>
        <w:rPr>
          <w:b/>
          <w:bCs/>
        </w:rPr>
        <w:t xml:space="preserve">accelerating spending, inflecting loan growth and better-than-expected credit quality</w:t>
      </w:r>
      <w:r>
        <w:t xml:space="preserve">. The central question is whether those trends are strong enough to support management’s projected second-half acceleration while overcoming elevated customer payment rates, retailer profit-sharing and technology spending.</w:t>
      </w:r>
    </w:p>
    <w:p>
      <w:pPr>
        <w:pStyle w:val="BodyText"/>
      </w:pPr>
      <w:r>
        <w:t xml:space="preserve">At its June investor conference, management said:</w:t>
      </w:r>
    </w:p>
    <w:p>
      <w:pPr>
        <w:pStyle w:val="Compact"/>
        <w:numPr>
          <w:ilvl w:val="0"/>
          <w:numId w:val="1001"/>
        </w:numPr>
      </w:pPr>
      <w:r>
        <w:t xml:space="preserve">Purchase volume was maintaining a</w:t>
      </w:r>
      <w:r>
        <w:t xml:space="preserve"> </w:t>
      </w:r>
      <w:r>
        <w:rPr>
          <w:b/>
          <w:bCs/>
        </w:rPr>
        <w:t xml:space="preserve">mid- to high-single-digit growth rate</w:t>
      </w:r>
      <w:r>
        <w:t xml:space="preserve">.</w:t>
      </w:r>
    </w:p>
    <w:p>
      <w:pPr>
        <w:pStyle w:val="Compact"/>
        <w:numPr>
          <w:ilvl w:val="0"/>
          <w:numId w:val="1001"/>
        </w:numPr>
      </w:pPr>
      <w:r>
        <w:t xml:space="preserve">Period-end receivables were up approximately</w:t>
      </w:r>
      <w:r>
        <w:t xml:space="preserve"> </w:t>
      </w:r>
      <w:r>
        <w:rPr>
          <w:b/>
          <w:bCs/>
        </w:rPr>
        <w:t xml:space="preserve">1.8% year over year in May</w:t>
      </w:r>
      <w:r>
        <w:t xml:space="preserve">, marking a third consecutive month of positive growth.</w:t>
      </w:r>
    </w:p>
    <w:p>
      <w:pPr>
        <w:pStyle w:val="Compact"/>
        <w:numPr>
          <w:ilvl w:val="0"/>
          <w:numId w:val="1001"/>
        </w:numPr>
      </w:pPr>
      <w:r>
        <w:t xml:space="preserve">May delinquencies were better than normal seasonality.</w:t>
      </w:r>
    </w:p>
    <w:p>
      <w:pPr>
        <w:pStyle w:val="Compact"/>
        <w:numPr>
          <w:ilvl w:val="0"/>
          <w:numId w:val="1001"/>
        </w:numPr>
      </w:pPr>
      <w:r>
        <w:t xml:space="preserve">Discretionary categories including home improvement, HVAC, furniture and luxury showed improvement around Memorial Day.</w:t>
      </w:r>
    </w:p>
    <w:p>
      <w:pPr>
        <w:pStyle w:val="Compact"/>
        <w:numPr>
          <w:ilvl w:val="0"/>
          <w:numId w:val="1001"/>
        </w:numPr>
      </w:pPr>
      <w:r>
        <w:t xml:space="preserve">The Walmart OnePay program was off to a strong start, particularly through digital channels.</w:t>
      </w:r>
    </w:p>
    <w:p>
      <w:pPr>
        <w:pStyle w:val="FirstParagraph"/>
      </w:pPr>
      <w:r>
        <w:t xml:space="preserve">That commentary significantly reduced the risk of a weak second quarter. However, investors will want evidence that this is the beginning of a sustainable loan-growth cycle rather than a temporary seasonal improvement.</w:t>
      </w:r>
    </w:p>
    <w:bookmarkEnd w:id="9"/>
    <w:bookmarkStart w:id="10" w:name="key-reference-points"/>
    <w:p>
      <w:pPr>
        <w:pStyle w:val="Heading2"/>
      </w:pPr>
      <w:r>
        <w:t xml:space="preserve">Key reference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2Q25</w:t>
            </w:r>
          </w:p>
        </w:tc>
        <w:tc>
          <w:tcPr/>
          <w:p>
            <w:pPr>
              <w:pStyle w:val="Compact"/>
            </w:pPr>
            <w:r>
              <w:t xml:space="preserve">Current management framework</w:t>
            </w:r>
          </w:p>
        </w:tc>
      </w:tr>
      <w:tr>
        <w:tc>
          <w:tcPr/>
          <w:p>
            <w:pPr>
              <w:pStyle w:val="Compact"/>
            </w:pPr>
            <w:r>
              <w:t xml:space="preserve">Diluted EPS</w:t>
            </w:r>
          </w:p>
        </w:tc>
        <w:tc>
          <w:tcPr/>
          <w:p>
            <w:pPr>
              <w:pStyle w:val="Compact"/>
              <w:jc w:val="right"/>
            </w:pPr>
            <w:r>
              <w:t xml:space="preserve">$2.27</w:t>
            </w:r>
          </w:p>
        </w:tc>
        <w:tc>
          <w:tcPr/>
          <w:p>
            <w:pPr>
              <w:pStyle w:val="Compact"/>
              <w:jc w:val="right"/>
            </w:pPr>
            <w:r>
              <w:t xml:space="preserve">$2.50</w:t>
            </w:r>
          </w:p>
        </w:tc>
        <w:tc>
          <w:tcPr/>
          <w:p>
            <w:pPr>
              <w:pStyle w:val="Compact"/>
            </w:pPr>
            <w:r>
              <w:t xml:space="preserve">FY26:</w:t>
            </w:r>
            <w:r>
              <w:t xml:space="preserve"> </w:t>
            </w:r>
            <m:oMath>
              <m:r>
                <m:t>9.10</m:t>
              </m:r>
              <m:r>
                <m:rPr>
                  <m:sty m:val="p"/>
                </m:rPr>
                <m:t>–</m:t>
              </m:r>
            </m:oMath>
            <w:r>
              <w:rPr>
                <w:b/>
                <w:bCs/>
              </w:rPr>
              <w:t xml:space="preserve">9.50</w:t>
            </w:r>
          </w:p>
        </w:tc>
      </w:tr>
      <w:tr>
        <w:tc>
          <w:tcPr/>
          <w:p>
            <w:pPr>
              <w:pStyle w:val="Compact"/>
            </w:pPr>
            <w:r>
              <w:t xml:space="preserve">Purchase volume</w:t>
            </w:r>
          </w:p>
        </w:tc>
        <w:tc>
          <w:tcPr/>
          <w:p>
            <w:pPr>
              <w:pStyle w:val="Compact"/>
              <w:jc w:val="right"/>
            </w:pPr>
            <w:r>
              <w:t xml:space="preserve">$43.0B, +5.6% YoY</w:t>
            </w:r>
          </w:p>
        </w:tc>
        <w:tc>
          <w:tcPr/>
          <w:p>
            <w:pPr>
              <w:pStyle w:val="Compact"/>
              <w:jc w:val="right"/>
            </w:pPr>
            <w:r>
              <w:t xml:space="preserve">$46.1B, -2% YoY</w:t>
            </w:r>
          </w:p>
        </w:tc>
        <w:tc>
          <w:tcPr/>
          <w:p>
            <w:pPr>
              <w:pStyle w:val="Compact"/>
            </w:pPr>
            <w:r>
              <w:t xml:space="preserve">Accelerating through 2026</w:t>
            </w:r>
          </w:p>
        </w:tc>
      </w:tr>
      <w:tr>
        <w:tc>
          <w:tcPr/>
          <w:p>
            <w:pPr>
              <w:pStyle w:val="Compact"/>
            </w:pPr>
            <w:r>
              <w:t xml:space="preserve">Period-end receivables</w:t>
            </w:r>
          </w:p>
        </w:tc>
        <w:tc>
          <w:tcPr/>
          <w:p>
            <w:pPr>
              <w:pStyle w:val="Compact"/>
              <w:jc w:val="right"/>
            </w:pPr>
            <w:r>
              <w:t xml:space="preserve">$100.1B, +0.5% YoY</w:t>
            </w:r>
          </w:p>
        </w:tc>
        <w:tc>
          <w:tcPr/>
          <w:p>
            <w:pPr>
              <w:pStyle w:val="Compact"/>
              <w:jc w:val="right"/>
            </w:pPr>
            <w:r>
              <w:t xml:space="preserve">$99.8B</w:t>
            </w:r>
          </w:p>
        </w:tc>
        <w:tc>
          <w:tcPr/>
          <w:p>
            <w:pPr>
              <w:pStyle w:val="Compact"/>
            </w:pPr>
            <w:r>
              <w:rPr>
                <w:b/>
                <w:bCs/>
              </w:rPr>
              <w:t xml:space="preserve">Mid-single-digit growth by year-end</w:t>
            </w:r>
          </w:p>
        </w:tc>
      </w:tr>
      <w:tr>
        <w:tc>
          <w:tcPr/>
          <w:p>
            <w:pPr>
              <w:pStyle w:val="Compact"/>
            </w:pPr>
            <w:r>
              <w:t xml:space="preserve">Net interest margin</w:t>
            </w:r>
          </w:p>
        </w:tc>
        <w:tc>
          <w:tcPr/>
          <w:p>
            <w:pPr>
              <w:pStyle w:val="Compact"/>
              <w:jc w:val="right"/>
            </w:pPr>
            <w:r>
              <w:t xml:space="preserve">15.50%</w:t>
            </w:r>
          </w:p>
        </w:tc>
        <w:tc>
          <w:tcPr/>
          <w:p>
            <w:pPr>
              <w:pStyle w:val="Compact"/>
              <w:jc w:val="right"/>
            </w:pPr>
            <w:r>
              <w:t xml:space="preserve">14.78%</w:t>
            </w:r>
          </w:p>
        </w:tc>
        <w:tc>
          <w:tcPr/>
          <w:p>
            <w:pPr>
              <w:pStyle w:val="Compact"/>
            </w:pPr>
            <w:r>
              <w:t xml:space="preserve">NII expected to grow in 2026</w:t>
            </w:r>
          </w:p>
        </w:tc>
      </w:tr>
      <w:tr>
        <w:tc>
          <w:tcPr/>
          <w:p>
            <w:pPr>
              <w:pStyle w:val="Compact"/>
            </w:pPr>
            <w:r>
              <w:t xml:space="preserve">Net charge-off rate</w:t>
            </w:r>
          </w:p>
        </w:tc>
        <w:tc>
          <w:tcPr/>
          <w:p>
            <w:pPr>
              <w:pStyle w:val="Compact"/>
              <w:jc w:val="right"/>
            </w:pPr>
            <w:r>
              <w:t xml:space="preserve">5.42%</w:t>
            </w:r>
          </w:p>
        </w:tc>
        <w:tc>
          <w:tcPr/>
          <w:p>
            <w:pPr>
              <w:pStyle w:val="Compact"/>
              <w:jc w:val="right"/>
            </w:pPr>
            <w:r>
              <w:t xml:space="preserve">5.70%</w:t>
            </w:r>
          </w:p>
        </w:tc>
        <w:tc>
          <w:tcPr/>
          <w:p>
            <w:pPr>
              <w:pStyle w:val="Compact"/>
            </w:pPr>
            <w:r>
              <w:rPr>
                <w:b/>
                <w:bCs/>
              </w:rPr>
              <w:t xml:space="preserve">Below 5.5% for FY26</w:t>
            </w:r>
            <w:r>
              <w:t xml:space="preserve">; peak in 2Q</w:t>
            </w:r>
          </w:p>
        </w:tc>
      </w:tr>
      <w:tr>
        <w:tc>
          <w:tcPr/>
          <w:p>
            <w:pPr>
              <w:pStyle w:val="Compact"/>
            </w:pPr>
            <w:r>
              <w:t xml:space="preserve">30+ delinquency rate</w:t>
            </w:r>
          </w:p>
        </w:tc>
        <w:tc>
          <w:tcPr/>
          <w:p>
            <w:pPr>
              <w:pStyle w:val="Compact"/>
              <w:jc w:val="right"/>
            </w:pPr>
            <w:r>
              <w:t xml:space="preserve">4.54%</w:t>
            </w:r>
          </w:p>
        </w:tc>
        <w:tc>
          <w:tcPr/>
          <w:p>
            <w:pPr>
              <w:pStyle w:val="Compact"/>
              <w:jc w:val="right"/>
            </w:pPr>
            <w:r>
              <w:t xml:space="preserve">4.18%</w:t>
            </w:r>
          </w:p>
        </w:tc>
        <w:tc>
          <w:tcPr/>
          <w:p>
            <w:pPr>
              <w:pStyle w:val="Compact"/>
            </w:pPr>
            <w:r>
              <w:t xml:space="preserve">Normal seasonality expected</w:t>
            </w:r>
          </w:p>
        </w:tc>
      </w:tr>
      <w:tr>
        <w:tc>
          <w:tcPr/>
          <w:p>
            <w:pPr>
              <w:pStyle w:val="Compact"/>
            </w:pPr>
            <w:r>
              <w:t xml:space="preserve">Retailer share arrangements</w:t>
            </w:r>
          </w:p>
        </w:tc>
        <w:tc>
          <w:tcPr/>
          <w:p>
            <w:pPr>
              <w:pStyle w:val="Compact"/>
              <w:jc w:val="right"/>
            </w:pPr>
            <w:r>
              <w:t xml:space="preserve">4.31% of average loans</w:t>
            </w:r>
          </w:p>
        </w:tc>
        <w:tc>
          <w:tcPr/>
          <w:p>
            <w:pPr>
              <w:pStyle w:val="Compact"/>
              <w:jc w:val="right"/>
            </w:pPr>
            <w:r>
              <w:t xml:space="preserve">—</w:t>
            </w:r>
          </w:p>
        </w:tc>
        <w:tc>
          <w:tcPr/>
          <w:p>
            <w:pPr>
              <w:pStyle w:val="Compact"/>
            </w:pPr>
            <w:r>
              <w:t xml:space="preserve">Long-term range of</w:t>
            </w:r>
            <w:r>
              <w:t xml:space="preserve"> </w:t>
            </w:r>
            <w:r>
              <w:rPr>
                <w:b/>
                <w:bCs/>
              </w:rPr>
              <w:t xml:space="preserve">4.0%–4.5%</w:t>
            </w:r>
          </w:p>
        </w:tc>
      </w:tr>
      <w:tr>
        <w:tc>
          <w:tcPr/>
          <w:p>
            <w:pPr>
              <w:pStyle w:val="Compact"/>
            </w:pPr>
            <w:r>
              <w:t xml:space="preserve">Other expense</w:t>
            </w:r>
          </w:p>
        </w:tc>
        <w:tc>
          <w:tcPr/>
          <w:p>
            <w:pPr>
              <w:pStyle w:val="Compact"/>
              <w:jc w:val="right"/>
            </w:pPr>
            <w:r>
              <w:t xml:space="preserve">$1.32B, +6% YoY</w:t>
            </w:r>
          </w:p>
        </w:tc>
        <w:tc>
          <w:tcPr/>
          <w:p>
            <w:pPr>
              <w:pStyle w:val="Compact"/>
              <w:jc w:val="right"/>
            </w:pPr>
            <w:r>
              <w:t xml:space="preserve">$1.25B</w:t>
            </w:r>
          </w:p>
        </w:tc>
        <w:tc>
          <w:tcPr/>
          <w:p>
            <w:pPr>
              <w:pStyle w:val="Compact"/>
            </w:pPr>
            <w:r>
              <w:t xml:space="preserve">Growth roughly in line with receivables</w:t>
            </w:r>
          </w:p>
        </w:tc>
      </w:tr>
      <w:tr>
        <w:tc>
          <w:tcPr/>
          <w:p>
            <w:pPr>
              <w:pStyle w:val="Compact"/>
            </w:pPr>
            <w:r>
              <w:t xml:space="preserve">CET1 ratio</w:t>
            </w:r>
          </w:p>
        </w:tc>
        <w:tc>
          <w:tcPr/>
          <w:p>
            <w:pPr>
              <w:pStyle w:val="Compact"/>
              <w:jc w:val="right"/>
            </w:pPr>
            <w:r>
              <w:t xml:space="preserve">12.7%</w:t>
            </w:r>
          </w:p>
        </w:tc>
        <w:tc>
          <w:tcPr/>
          <w:p>
            <w:pPr>
              <w:pStyle w:val="Compact"/>
              <w:jc w:val="right"/>
            </w:pPr>
            <w:r>
              <w:t xml:space="preserve">13.6%</w:t>
            </w:r>
          </w:p>
        </w:tc>
        <w:tc>
          <w:tcPr/>
          <w:p>
            <w:pPr>
              <w:pStyle w:val="Compact"/>
            </w:pPr>
            <w:r>
              <w:t xml:space="preserve">Internal target around 11%</w:t>
            </w:r>
          </w:p>
        </w:tc>
      </w:tr>
      <w:tr>
        <w:tc>
          <w:tcPr/>
          <w:p>
            <w:pPr>
              <w:pStyle w:val="Compact"/>
            </w:pPr>
            <w:r>
              <w:t xml:space="preserve">Buybacks</w:t>
            </w:r>
          </w:p>
        </w:tc>
        <w:tc>
          <w:tcPr/>
          <w:p>
            <w:pPr>
              <w:pStyle w:val="Compact"/>
              <w:jc w:val="right"/>
            </w:pPr>
            <w:r>
              <w:t xml:space="preserve">$900M</w:t>
            </w:r>
          </w:p>
        </w:tc>
        <w:tc>
          <w:tcPr/>
          <w:p>
            <w:pPr>
              <w:pStyle w:val="Compact"/>
              <w:jc w:val="right"/>
            </w:pPr>
            <w:r>
              <w:t xml:space="preserve">$500M</w:t>
            </w:r>
          </w:p>
        </w:tc>
        <w:tc>
          <w:tcPr/>
          <w:p>
            <w:pPr>
              <w:pStyle w:val="Compact"/>
            </w:pPr>
            <w:r>
              <w:t xml:space="preserve">New</w:t>
            </w:r>
            <w:r>
              <w:t xml:space="preserve"> </w:t>
            </w:r>
            <w:r>
              <w:rPr>
                <w:b/>
                <w:bCs/>
              </w:rPr>
              <w:t xml:space="preserve">$6.5B</w:t>
            </w:r>
            <w:r>
              <w:t xml:space="preserve"> </w:t>
            </w:r>
            <w:r>
              <w:t xml:space="preserve">authorization</w:t>
            </w:r>
          </w:p>
        </w:tc>
      </w:tr>
    </w:tbl>
    <w:bookmarkEnd w:id="10"/>
    <w:bookmarkStart w:id="18" w:name="what-matters-most"/>
    <w:p>
      <w:pPr>
        <w:pStyle w:val="Heading2"/>
      </w:pPr>
      <w:r>
        <w:t xml:space="preserve">What matters most</w:t>
      </w:r>
    </w:p>
    <w:bookmarkStart w:id="11" w:name="X93d4f7f26751aaab6095cffc5157ea34d708103"/>
    <w:p>
      <w:pPr>
        <w:pStyle w:val="Heading3"/>
      </w:pPr>
      <w:r>
        <w:t xml:space="preserve">1. Loan growth must continue to inflect</w:t>
      </w:r>
    </w:p>
    <w:p>
      <w:pPr>
        <w:pStyle w:val="FirstParagraph"/>
      </w:pPr>
      <w:r>
        <w:t xml:space="preserve">This is the most important operating metric in the report.</w:t>
      </w:r>
    </w:p>
    <w:p>
      <w:pPr>
        <w:pStyle w:val="BodyText"/>
      </w:pPr>
      <w:r>
        <w:t xml:space="preserve">First-quarter purchase volume grew 5.6%, and new-account originations increased 15%, but high payment rates kept period-end receivables nearly flat year over year. Management nevertheless reiterated that receivables should grow at a mid-single-digit rate by year-end, with acceleration concentrated in the second half.</w:t>
      </w:r>
    </w:p>
    <w:p>
      <w:pPr>
        <w:pStyle w:val="BodyText"/>
      </w:pPr>
      <w:r>
        <w:t xml:space="preserve">Several factors should now be helping:</w:t>
      </w:r>
    </w:p>
    <w:p>
      <w:pPr>
        <w:pStyle w:val="Compact"/>
        <w:numPr>
          <w:ilvl w:val="0"/>
          <w:numId w:val="1002"/>
        </w:numPr>
      </w:pPr>
      <w:r>
        <w:t xml:space="preserve">Approximately</w:t>
      </w:r>
      <w:r>
        <w:t xml:space="preserve"> </w:t>
      </w:r>
      <w:r>
        <w:rPr>
          <w:b/>
          <w:bCs/>
        </w:rPr>
        <w:t xml:space="preserve">$725 million of Lowe’s commercial co-brand receivables</w:t>
      </w:r>
      <w:r>
        <w:t xml:space="preserve"> </w:t>
      </w:r>
      <w:r>
        <w:t xml:space="preserve">was added in April.</w:t>
      </w:r>
    </w:p>
    <w:p>
      <w:pPr>
        <w:pStyle w:val="Compact"/>
        <w:numPr>
          <w:ilvl w:val="0"/>
          <w:numId w:val="1002"/>
        </w:numPr>
      </w:pPr>
      <w:r>
        <w:t xml:space="preserve">Walmart OnePay began contributing after launching in late 2025.</w:t>
      </w:r>
    </w:p>
    <w:p>
      <w:pPr>
        <w:pStyle w:val="Compact"/>
        <w:numPr>
          <w:ilvl w:val="0"/>
          <w:numId w:val="1002"/>
        </w:numPr>
      </w:pPr>
      <w:r>
        <w:t xml:space="preserve">Bob’s Discount Furniture and RH should support Home &amp; Auto.</w:t>
      </w:r>
    </w:p>
    <w:p>
      <w:pPr>
        <w:pStyle w:val="Compact"/>
        <w:numPr>
          <w:ilvl w:val="0"/>
          <w:numId w:val="1002"/>
        </w:numPr>
      </w:pPr>
      <w:r>
        <w:t xml:space="preserve">Prior credit tightening is increasingly behind the company.</w:t>
      </w:r>
    </w:p>
    <w:p>
      <w:pPr>
        <w:pStyle w:val="Compact"/>
        <w:numPr>
          <w:ilvl w:val="0"/>
          <w:numId w:val="1002"/>
        </w:numPr>
      </w:pPr>
      <w:r>
        <w:t xml:space="preserve">Discretionary spending improved during the quarter.</w:t>
      </w:r>
    </w:p>
    <w:p>
      <w:pPr>
        <w:pStyle w:val="FirstParagraph"/>
      </w:pPr>
      <w:r>
        <w:t xml:space="preserve">A solid report should show receivables growing faster than the 1.8% year-over-year rate disclosed for May, or at least a clear bridge to the year-end target.</w:t>
      </w:r>
    </w:p>
    <w:p>
      <w:pPr>
        <w:pStyle w:val="BodyText"/>
      </w:pPr>
      <w:r>
        <w:t xml:space="preserve">The key tension remains the payment rate. It was 16.3% in the first quarter, about 50 basis points higher than a year earlier and 110 basis points above the pre-pandemic first-quarter average. Strong payments are good for credit but suppress balances and interest income.</w:t>
      </w:r>
    </w:p>
    <w:bookmarkEnd w:id="11"/>
    <w:bookmarkStart w:id="12" w:name="Xf9f1440aca6d30ed87e2da7074bf634117d3b96"/>
    <w:p>
      <w:pPr>
        <w:pStyle w:val="Heading3"/>
      </w:pPr>
      <w:r>
        <w:t xml:space="preserve">2. Credit appears favorable, but this is the seasonal peak</w:t>
      </w:r>
    </w:p>
    <w:p>
      <w:pPr>
        <w:pStyle w:val="FirstParagraph"/>
      </w:pPr>
      <w:r>
        <w:t xml:space="preserve">Management expects net charge-offs to peak in the second quarter. The relevant question is not whether charge-offs rise sequentially, but whether they remain consistent with the full-year target of less than 5.5%.</w:t>
      </w:r>
    </w:p>
    <w:p>
      <w:pPr>
        <w:pStyle w:val="BodyText"/>
      </w:pPr>
      <w:r>
        <w:t xml:space="preserve">The available signals are reassuring:</w:t>
      </w:r>
    </w:p>
    <w:p>
      <w:pPr>
        <w:pStyle w:val="Compact"/>
        <w:numPr>
          <w:ilvl w:val="0"/>
          <w:numId w:val="1003"/>
        </w:numPr>
      </w:pPr>
      <w:r>
        <w:t xml:space="preserve">April’s adjusted monthly net charge-off rate was</w:t>
      </w:r>
      <w:r>
        <w:t xml:space="preserve"> </w:t>
      </w:r>
      <w:r>
        <w:rPr>
          <w:b/>
          <w:bCs/>
        </w:rPr>
        <w:t xml:space="preserve">5.6%</w:t>
      </w:r>
      <w:r>
        <w:t xml:space="preserve">, versus 6.3% in April 2025.</w:t>
      </w:r>
    </w:p>
    <w:p>
      <w:pPr>
        <w:pStyle w:val="Compact"/>
        <w:numPr>
          <w:ilvl w:val="0"/>
          <w:numId w:val="1003"/>
        </w:numPr>
      </w:pPr>
      <w:r>
        <w:t xml:space="preserve">April 30+ delinquencies were</w:t>
      </w:r>
      <w:r>
        <w:t xml:space="preserve"> </w:t>
      </w:r>
      <w:r>
        <w:rPr>
          <w:b/>
          <w:bCs/>
        </w:rPr>
        <w:t xml:space="preserve">4.3%</w:t>
      </w:r>
      <w:r>
        <w:t xml:space="preserve">, unchanged from the prior year.</w:t>
      </w:r>
    </w:p>
    <w:p>
      <w:pPr>
        <w:pStyle w:val="Compact"/>
        <w:numPr>
          <w:ilvl w:val="0"/>
          <w:numId w:val="1003"/>
        </w:numPr>
      </w:pPr>
      <w:r>
        <w:t xml:space="preserve">Management said May delinquencies fell to</w:t>
      </w:r>
      <w:r>
        <w:t xml:space="preserve"> </w:t>
      </w:r>
      <w:r>
        <w:rPr>
          <w:b/>
          <w:bCs/>
        </w:rPr>
        <w:t xml:space="preserve">4.2%</w:t>
      </w:r>
      <w:r>
        <w:t xml:space="preserve"> </w:t>
      </w:r>
      <w:r>
        <w:t xml:space="preserve">and were better than normal seasonality.</w:t>
      </w:r>
    </w:p>
    <w:p>
      <w:pPr>
        <w:pStyle w:val="Compact"/>
        <w:numPr>
          <w:ilvl w:val="0"/>
          <w:numId w:val="1003"/>
        </w:numPr>
      </w:pPr>
      <w:r>
        <w:t xml:space="preserve">May losses were described as consistent with normalized historical performance.</w:t>
      </w:r>
    </w:p>
    <w:p>
      <w:pPr>
        <w:pStyle w:val="FirstParagraph"/>
      </w:pPr>
      <w:r>
        <w:t xml:space="preserve">A quarterly net charge-off rate in the mid-5% area would therefore look healthy, especially given the expected seasonal peak. More important will be delinquency formation and management’s commentary about newer vintages following the partial reopening of its credit criteria.</w:t>
      </w:r>
    </w:p>
    <w:p>
      <w:pPr>
        <w:pStyle w:val="BodyText"/>
      </w:pPr>
      <w:r>
        <w:t xml:space="preserve">Credit should gradually normalize as:</w:t>
      </w:r>
    </w:p>
    <w:p>
      <w:pPr>
        <w:pStyle w:val="Compact"/>
        <w:numPr>
          <w:ilvl w:val="0"/>
          <w:numId w:val="1004"/>
        </w:numPr>
      </w:pPr>
      <w:r>
        <w:t xml:space="preserve">Credit actions reversed during 2025 season into the portfolio.</w:t>
      </w:r>
    </w:p>
    <w:p>
      <w:pPr>
        <w:pStyle w:val="Compact"/>
        <w:numPr>
          <w:ilvl w:val="0"/>
          <w:numId w:val="1004"/>
        </w:numPr>
      </w:pPr>
      <w:r>
        <w:t xml:space="preserve">New Walmart accounts begin producing losses.</w:t>
      </w:r>
    </w:p>
    <w:p>
      <w:pPr>
        <w:pStyle w:val="Compact"/>
        <w:numPr>
          <w:ilvl w:val="0"/>
          <w:numId w:val="1004"/>
        </w:numPr>
      </w:pPr>
      <w:r>
        <w:t xml:space="preserve">Faster account and receivables growth changes the portfolio mix.</w:t>
      </w:r>
    </w:p>
    <w:p>
      <w:pPr>
        <w:pStyle w:val="FirstParagraph"/>
      </w:pPr>
      <w:r>
        <w:t xml:space="preserve">A modest future increase would not necessarily be negative. The concern would be deterioration materially faster than the growth and seasoning management has already anticipated.</w:t>
      </w:r>
    </w:p>
    <w:bookmarkEnd w:id="12"/>
    <w:bookmarkStart w:id="13" w:name="X998c69eb3343eee1f465cb1000e143a2250dfc2"/>
    <w:p>
      <w:pPr>
        <w:pStyle w:val="Heading3"/>
      </w:pPr>
      <w:r>
        <w:t xml:space="preserve">3. Reserve activity could obscure the underlying result</w:t>
      </w:r>
    </w:p>
    <w:p>
      <w:pPr>
        <w:pStyle w:val="FirstParagraph"/>
      </w:pPr>
      <w:r>
        <w:t xml:space="preserve">Provision expense will be an important EPS swing factor.</w:t>
      </w:r>
    </w:p>
    <w:p>
      <w:pPr>
        <w:pStyle w:val="BodyText"/>
      </w:pPr>
      <w:r>
        <w:t xml:space="preserve">Synchrony released $265 million of reserves in 2Q25, helping produce $2.50 of EPS. In 1Q26, the allowance equaled 10.42% of receivables, down 45 basis points year over year but up seasonally from year-end.</w:t>
      </w:r>
    </w:p>
    <w:p>
      <w:pPr>
        <w:pStyle w:val="BodyText"/>
      </w:pPr>
      <w:r>
        <w:t xml:space="preserve">Strong credit could support another release, but accelerating loan growth may require additional reserves. Consequently, investors should distinguish between:</w:t>
      </w:r>
    </w:p>
    <w:p>
      <w:pPr>
        <w:pStyle w:val="Compact"/>
        <w:numPr>
          <w:ilvl w:val="0"/>
          <w:numId w:val="1005"/>
        </w:numPr>
      </w:pPr>
      <w:r>
        <w:t xml:space="preserve">Earnings driven by lower charge-offs and stronger net interest income; and</w:t>
      </w:r>
    </w:p>
    <w:p>
      <w:pPr>
        <w:pStyle w:val="Compact"/>
        <w:numPr>
          <w:ilvl w:val="0"/>
          <w:numId w:val="1005"/>
        </w:numPr>
      </w:pPr>
      <w:r>
        <w:t xml:space="preserve">Earnings driven primarily by a reserve release.</w:t>
      </w:r>
    </w:p>
    <w:p>
      <w:pPr>
        <w:pStyle w:val="FirstParagraph"/>
      </w:pPr>
      <w:r>
        <w:t xml:space="preserve">A reserve build caused by faster, attractively priced growth would not necessarily be bearish.</w:t>
      </w:r>
    </w:p>
    <w:bookmarkEnd w:id="13"/>
    <w:bookmarkStart w:id="14" w:name="Xdfccd22deb351ce80d00e73d99ef64e314414af"/>
    <w:p>
      <w:pPr>
        <w:pStyle w:val="Heading3"/>
      </w:pPr>
      <w:r>
        <w:t xml:space="preserve">4. Net interest income should benefit from yield and funding trends</w:t>
      </w:r>
    </w:p>
    <w:p>
      <w:pPr>
        <w:pStyle w:val="FirstParagraph"/>
      </w:pPr>
      <w:r>
        <w:t xml:space="preserve">First-quarter net interest income grew 4% to $4.64 billion, while NIM expanded 76 basis points year over year to 15.50%.</w:t>
      </w:r>
    </w:p>
    <w:p>
      <w:pPr>
        <w:pStyle w:val="BodyText"/>
      </w:pPr>
      <w:r>
        <w:t xml:space="preserve">The principal tailwinds were:</w:t>
      </w:r>
    </w:p>
    <w:p>
      <w:pPr>
        <w:pStyle w:val="Compact"/>
        <w:numPr>
          <w:ilvl w:val="0"/>
          <w:numId w:val="1006"/>
        </w:numPr>
      </w:pPr>
      <w:r>
        <w:t xml:space="preserve">Product, pricing and policy changes.</w:t>
      </w:r>
    </w:p>
    <w:p>
      <w:pPr>
        <w:pStyle w:val="Compact"/>
        <w:numPr>
          <w:ilvl w:val="0"/>
          <w:numId w:val="1006"/>
        </w:numPr>
      </w:pPr>
      <w:r>
        <w:t xml:space="preserve">Lower deposit and overall funding costs.</w:t>
      </w:r>
    </w:p>
    <w:p>
      <w:pPr>
        <w:pStyle w:val="Compact"/>
        <w:numPr>
          <w:ilvl w:val="0"/>
          <w:numId w:val="1006"/>
        </w:numPr>
      </w:pPr>
      <w:r>
        <w:t xml:space="preserve">A larger proportion of interest-earning assets held as loans.</w:t>
      </w:r>
    </w:p>
    <w:p>
      <w:pPr>
        <w:pStyle w:val="Compact"/>
        <w:numPr>
          <w:ilvl w:val="0"/>
          <w:numId w:val="1006"/>
        </w:numPr>
      </w:pPr>
      <w:r>
        <w:t xml:space="preserve">Higher commercial-credit yields.</w:t>
      </w:r>
    </w:p>
    <w:p>
      <w:pPr>
        <w:pStyle w:val="FirstParagraph"/>
      </w:pPr>
      <w:r>
        <w:t xml:space="preserve">The offsets were lower benchmark rates, lower late-fee incidence and high payment rates. With balances beginning to grow, net interest income should remain constructive. A NIM around or above 15% would indicate that pricing and funding benefits remain intact.</w:t>
      </w:r>
    </w:p>
    <w:p>
      <w:pPr>
        <w:pStyle w:val="BodyText"/>
      </w:pPr>
      <w:r>
        <w:t xml:space="preserve">Investors should not expect every dollar of revenue and credit upside to reach shareholders. Retailer share arrangements rise when partner programs perform better. Management continues to expect RSAs at 4.0%–4.5% of average receivables, compared with 4.31% in the first quarter.</w:t>
      </w:r>
    </w:p>
    <w:bookmarkEnd w:id="14"/>
    <w:bookmarkStart w:id="15" w:name="Xe3bb94cd20816eb5d9d601427091e0626f53207"/>
    <w:p>
      <w:pPr>
        <w:pStyle w:val="Heading3"/>
      </w:pPr>
      <w:r>
        <w:t xml:space="preserve">5. Walmart OnePay is becoming strategically important</w:t>
      </w:r>
    </w:p>
    <w:p>
      <w:pPr>
        <w:pStyle w:val="FirstParagraph"/>
      </w:pPr>
      <w:r>
        <w:t xml:space="preserve">Management characterized Walmart as Synchrony’s fastest-growing de novo program and said it could eventually become a top-10—and potentially top-five—relationship.</w:t>
      </w:r>
    </w:p>
    <w:p>
      <w:pPr>
        <w:pStyle w:val="BodyText"/>
      </w:pPr>
      <w:r>
        <w:t xml:space="preserve">Early performance has been strongest among Walmart+ customers and in digital acquisition. The next opportunity is improving account production in stores and at the point of sale.</w:t>
      </w:r>
    </w:p>
    <w:p>
      <w:pPr>
        <w:pStyle w:val="BodyText"/>
      </w:pPr>
      <w:r>
        <w:t xml:space="preserve">Investors should listen for:</w:t>
      </w:r>
    </w:p>
    <w:p>
      <w:pPr>
        <w:pStyle w:val="Compact"/>
        <w:numPr>
          <w:ilvl w:val="0"/>
          <w:numId w:val="1007"/>
        </w:numPr>
      </w:pPr>
      <w:r>
        <w:t xml:space="preserve">Account-acquisition and engagement trends.</w:t>
      </w:r>
    </w:p>
    <w:p>
      <w:pPr>
        <w:pStyle w:val="Compact"/>
        <w:numPr>
          <w:ilvl w:val="0"/>
          <w:numId w:val="1007"/>
        </w:numPr>
      </w:pPr>
      <w:r>
        <w:t xml:space="preserve">Progress integrating the product at checkout.</w:t>
      </w:r>
    </w:p>
    <w:p>
      <w:pPr>
        <w:pStyle w:val="Compact"/>
        <w:numPr>
          <w:ilvl w:val="0"/>
          <w:numId w:val="1007"/>
        </w:numPr>
      </w:pPr>
      <w:r>
        <w:t xml:space="preserve">Whether Walmart is materially contributing to Diversified &amp; Value growth.</w:t>
      </w:r>
    </w:p>
    <w:p>
      <w:pPr>
        <w:pStyle w:val="Compact"/>
        <w:numPr>
          <w:ilvl w:val="0"/>
          <w:numId w:val="1007"/>
        </w:numPr>
      </w:pPr>
      <w:r>
        <w:t xml:space="preserve">Changes to the expected investment or marketing burden.</w:t>
      </w:r>
    </w:p>
    <w:p>
      <w:pPr>
        <w:pStyle w:val="Compact"/>
        <w:numPr>
          <w:ilvl w:val="0"/>
          <w:numId w:val="1007"/>
        </w:numPr>
      </w:pPr>
      <w:r>
        <w:t xml:space="preserve">Early credit characteristics of the new accounts.</w:t>
      </w:r>
    </w:p>
    <w:p>
      <w:pPr>
        <w:pStyle w:val="FirstParagraph"/>
      </w:pPr>
      <w:r>
        <w:t xml:space="preserve">Walmart is still too young to transform near-term earnings, but it could materially improve Synchrony’s medium-term receivables growth.</w:t>
      </w:r>
    </w:p>
    <w:bookmarkEnd w:id="15"/>
    <w:bookmarkStart w:id="16" w:name="X765923a194800b708f12562e4626e8cd9fe05a1"/>
    <w:p>
      <w:pPr>
        <w:pStyle w:val="Heading3"/>
      </w:pPr>
      <w:r>
        <w:t xml:space="preserve">6. Home &amp; Auto needs to confirm the “green shoots”</w:t>
      </w:r>
    </w:p>
    <w:p>
      <w:pPr>
        <w:pStyle w:val="FirstParagraph"/>
      </w:pPr>
      <w:r>
        <w:t xml:space="preserve">Home &amp; Auto represented approximately 29% of first-quarter receivables but remained the weakest platform:</w:t>
      </w:r>
    </w:p>
    <w:p>
      <w:pPr>
        <w:pStyle w:val="Compact"/>
        <w:numPr>
          <w:ilvl w:val="0"/>
          <w:numId w:val="1008"/>
        </w:numPr>
      </w:pPr>
      <w:r>
        <w:t xml:space="preserve">Purchase volume was flat year over year.</w:t>
      </w:r>
    </w:p>
    <w:p>
      <w:pPr>
        <w:pStyle w:val="Compact"/>
        <w:numPr>
          <w:ilvl w:val="0"/>
          <w:numId w:val="1008"/>
        </w:numPr>
      </w:pPr>
      <w:r>
        <w:t xml:space="preserve">Receivables fell 3.7%.</w:t>
      </w:r>
    </w:p>
    <w:p>
      <w:pPr>
        <w:pStyle w:val="Compact"/>
        <w:numPr>
          <w:ilvl w:val="0"/>
          <w:numId w:val="1008"/>
        </w:numPr>
      </w:pPr>
      <w:r>
        <w:t xml:space="preserve">Average active accounts declined 5.9%.</w:t>
      </w:r>
    </w:p>
    <w:p>
      <w:pPr>
        <w:pStyle w:val="FirstParagraph"/>
      </w:pPr>
      <w:r>
        <w:t xml:space="preserve">Management subsequently reported improved Memorial Day activity in home improvement, HVAC and furniture. A return to purchase-volume growth would be an important confirmation that discretionary financing demand is recovering.</w:t>
      </w:r>
    </w:p>
    <w:p>
      <w:pPr>
        <w:pStyle w:val="BodyText"/>
      </w:pPr>
      <w:r>
        <w:t xml:space="preserve">Bob’s and RH should also help, although the larger opportunity is stabilizing the existing portfolio. Continued contraction in Home &amp; Auto would make the year-end receivables target more dependent on Walmart and acquired portfolios.</w:t>
      </w:r>
    </w:p>
    <w:bookmarkEnd w:id="16"/>
    <w:bookmarkStart w:id="17" w:name="X9aaf7c0590fbc6fc69dde328abe925348317b44"/>
    <w:p>
      <w:pPr>
        <w:pStyle w:val="Heading3"/>
      </w:pPr>
      <w:r>
        <w:t xml:space="preserve">7. Expense discipline and AI investment</w:t>
      </w:r>
    </w:p>
    <w:p>
      <w:pPr>
        <w:pStyle w:val="FirstParagraph"/>
      </w:pPr>
      <w:r>
        <w:t xml:space="preserve">First-quarter expenses increased 6% to $1.32 billion, driven partly by technology spending and operational losses. Management indicated that operational losses were somewhat idiosyncratic and that the quarterly expense-dollar run rate should be relatively stable.</w:t>
      </w:r>
    </w:p>
    <w:p>
      <w:pPr>
        <w:pStyle w:val="BodyText"/>
      </w:pPr>
      <w:r>
        <w:t xml:space="preserve">Synchrony is continuing to invest in:</w:t>
      </w:r>
    </w:p>
    <w:p>
      <w:pPr>
        <w:pStyle w:val="Compact"/>
        <w:numPr>
          <w:ilvl w:val="0"/>
          <w:numId w:val="1009"/>
        </w:numPr>
      </w:pPr>
      <w:r>
        <w:t xml:space="preserve">Cloud migration through 2027.</w:t>
      </w:r>
    </w:p>
    <w:p>
      <w:pPr>
        <w:pStyle w:val="Compact"/>
        <w:numPr>
          <w:ilvl w:val="0"/>
          <w:numId w:val="1009"/>
        </w:numPr>
      </w:pPr>
      <w:r>
        <w:t xml:space="preserve">Generative AI and employee productivity.</w:t>
      </w:r>
    </w:p>
    <w:p>
      <w:pPr>
        <w:pStyle w:val="Compact"/>
        <w:numPr>
          <w:ilvl w:val="0"/>
          <w:numId w:val="1009"/>
        </w:numPr>
      </w:pPr>
      <w:r>
        <w:t xml:space="preserve">Agentic-commerce capabilities.</w:t>
      </w:r>
    </w:p>
    <w:p>
      <w:pPr>
        <w:pStyle w:val="Compact"/>
        <w:numPr>
          <w:ilvl w:val="0"/>
          <w:numId w:val="1009"/>
        </w:numPr>
      </w:pPr>
      <w:r>
        <w:t xml:space="preserve">Digital customer experience and underwriting.</w:t>
      </w:r>
    </w:p>
    <w:p>
      <w:pPr>
        <w:pStyle w:val="Compact"/>
        <w:numPr>
          <w:ilvl w:val="0"/>
          <w:numId w:val="1009"/>
        </w:numPr>
      </w:pPr>
      <w:r>
        <w:t xml:space="preserve">Integration and launch of new programs.</w:t>
      </w:r>
    </w:p>
    <w:p>
      <w:pPr>
        <w:pStyle w:val="FirstParagraph"/>
      </w:pPr>
      <w:r>
        <w:t xml:space="preserve">The near-term test is whether revenue growth begins to outpace expenses. Management’s longer-term efficiency target is 32%–33%, compared with 35.6% in the first quarter, although stronger retailer share payments mechanically pressure the efficiency ratio.</w:t>
      </w:r>
    </w:p>
    <w:p>
      <w:pPr>
        <w:pStyle w:val="BodyText"/>
      </w:pPr>
      <w:r>
        <w:t xml:space="preserve">The June leadership reorganization—placing Carol Juel over the Digital platform and naming a dedicated CTO—reinforces the strategic focus on AI and digital commerce. It should not have a significant immediate financial effect.</w:t>
      </w:r>
    </w:p>
    <w:bookmarkEnd w:id="17"/>
    <w:bookmarkEnd w:id="18"/>
    <w:bookmarkStart w:id="19" w:name="capital-return-and-valuation"/>
    <w:p>
      <w:pPr>
        <w:pStyle w:val="Heading2"/>
      </w:pPr>
      <w:r>
        <w:t xml:space="preserve">Capital return and valuation</w:t>
      </w:r>
    </w:p>
    <w:p>
      <w:pPr>
        <w:pStyle w:val="FirstParagraph"/>
      </w:pPr>
      <w:r>
        <w:t xml:space="preserve">Synchrony entered the quarter with a 12.7% CET1 ratio, well above its approximately 11% target, and repurchased $900 million of stock during the first quarter. Its new $6.5 billion authorization is equivalent to roughly one-quarter of the company’s current market capitalization, although it has no fixed expiration and should not be treated as a near-term commitment.</w:t>
      </w:r>
    </w:p>
    <w:p>
      <w:pPr>
        <w:pStyle w:val="BodyText"/>
      </w:pPr>
      <w:r>
        <w:t xml:space="preserve">At $73.43, SYF trades at approximately:</w:t>
      </w:r>
    </w:p>
    <w:p>
      <w:pPr>
        <w:pStyle w:val="Compact"/>
        <w:numPr>
          <w:ilvl w:val="0"/>
          <w:numId w:val="1010"/>
        </w:numPr>
      </w:pPr>
      <w:r>
        <w:rPr>
          <w:b/>
          <w:bCs/>
        </w:rPr>
        <w:t xml:space="preserve">7.7–8.1 times</w:t>
      </w:r>
      <w:r>
        <w:t xml:space="preserve"> </w:t>
      </w:r>
      <w:r>
        <w:t xml:space="preserve">management’s 2026 EPS guidance.</w:t>
      </w:r>
    </w:p>
    <w:p>
      <w:pPr>
        <w:pStyle w:val="Compact"/>
        <w:numPr>
          <w:ilvl w:val="0"/>
          <w:numId w:val="1010"/>
        </w:numPr>
      </w:pPr>
      <w:r>
        <w:rPr>
          <w:b/>
          <w:bCs/>
        </w:rPr>
        <w:t xml:space="preserve">1.95 times</w:t>
      </w:r>
      <w:r>
        <w:t xml:space="preserve"> </w:t>
      </w:r>
      <w:r>
        <w:t xml:space="preserve">first-quarter tangible book value of $37.62 per share.</w:t>
      </w:r>
    </w:p>
    <w:p>
      <w:pPr>
        <w:pStyle w:val="FirstParagraph"/>
      </w:pPr>
      <w:r>
        <w:t xml:space="preserve">The stock is down about 5% since the first-quarter report and 12% year to date. At that valuation, a clean credit result, guidance reaffirmation and continued buybacks could be enough for a favorable reaction. Conversely, the low multiple also reflects investor concern that current returns and credit performance may be near cyclical highs.</w:t>
      </w:r>
    </w:p>
    <w:p>
      <w:pPr>
        <w:pStyle w:val="BodyText"/>
      </w:pPr>
      <w:r>
        <w:t xml:space="preserve">Watch for:</w:t>
      </w:r>
    </w:p>
    <w:p>
      <w:pPr>
        <w:pStyle w:val="Compact"/>
        <w:numPr>
          <w:ilvl w:val="0"/>
          <w:numId w:val="1011"/>
        </w:numPr>
      </w:pPr>
      <w:r>
        <w:t xml:space="preserve">Whether buybacks remain near the recent pace.</w:t>
      </w:r>
    </w:p>
    <w:p>
      <w:pPr>
        <w:pStyle w:val="Compact"/>
        <w:numPr>
          <w:ilvl w:val="0"/>
          <w:numId w:val="1011"/>
        </w:numPr>
      </w:pPr>
      <w:r>
        <w:t xml:space="preserve">Updated CET1 and tangible book value.</w:t>
      </w:r>
    </w:p>
    <w:p>
      <w:pPr>
        <w:pStyle w:val="Compact"/>
        <w:numPr>
          <w:ilvl w:val="0"/>
          <w:numId w:val="1011"/>
        </w:numPr>
      </w:pPr>
      <w:r>
        <w:t xml:space="preserve">Any change in the 11% capital target.</w:t>
      </w:r>
    </w:p>
    <w:p>
      <w:pPr>
        <w:pStyle w:val="Compact"/>
        <w:numPr>
          <w:ilvl w:val="0"/>
          <w:numId w:val="1011"/>
        </w:numPr>
      </w:pPr>
      <w:r>
        <w:t xml:space="preserve">Management’s latest view of potential capital relief from proposed Basel rules.</w:t>
      </w:r>
    </w:p>
    <w:bookmarkEnd w:id="19"/>
    <w:bookmarkStart w:id="20" w:name="X31e4bca5ac2d6f388056db5ebc3a0e2a8510eda"/>
    <w:p>
      <w:pPr>
        <w:pStyle w:val="Heading2"/>
      </w:pPr>
      <w:r>
        <w:t xml:space="preserve">Guidance: likely outcome and upside threshold</w:t>
      </w:r>
    </w:p>
    <w:p>
      <w:pPr>
        <w:pStyle w:val="FirstParagraph"/>
      </w:pPr>
      <w:r>
        <w:t xml:space="preserve">The base case is that Synchrony</w:t>
      </w:r>
      <w:r>
        <w:t xml:space="preserve"> </w:t>
      </w:r>
      <w:r>
        <w:rPr>
          <w:b/>
          <w:bCs/>
        </w:rPr>
        <w:t xml:space="preserve">reaffirms</w:t>
      </w:r>
      <w:r>
        <w:t xml:space="preserve">:</w:t>
      </w:r>
    </w:p>
    <w:p>
      <w:pPr>
        <w:pStyle w:val="Compact"/>
        <w:numPr>
          <w:ilvl w:val="0"/>
          <w:numId w:val="1012"/>
        </w:numPr>
      </w:pPr>
      <m:oMath>
        <m:r>
          <m:t>9.10</m:t>
        </m:r>
        <m:r>
          <m:rPr>
            <m:sty m:val="p"/>
          </m:rPr>
          <m:t>–</m:t>
        </m:r>
      </m:oMath>
      <w:r>
        <w:t xml:space="preserve">9.50 of diluted EPS.</w:t>
      </w:r>
    </w:p>
    <w:p>
      <w:pPr>
        <w:pStyle w:val="Compact"/>
        <w:numPr>
          <w:ilvl w:val="0"/>
          <w:numId w:val="1012"/>
        </w:numPr>
      </w:pPr>
      <w:r>
        <w:t xml:space="preserve">Mid-single-digit year-end receivables growth.</w:t>
      </w:r>
    </w:p>
    <w:p>
      <w:pPr>
        <w:pStyle w:val="Compact"/>
        <w:numPr>
          <w:ilvl w:val="0"/>
          <w:numId w:val="1012"/>
        </w:numPr>
      </w:pPr>
      <w:r>
        <w:t xml:space="preserve">Full-year net charge-offs below 5.5%.</w:t>
      </w:r>
    </w:p>
    <w:p>
      <w:pPr>
        <w:pStyle w:val="Compact"/>
        <w:numPr>
          <w:ilvl w:val="0"/>
          <w:numId w:val="1012"/>
        </w:numPr>
      </w:pPr>
      <w:r>
        <w:t xml:space="preserve">Expense growth broadly in line with receivables.</w:t>
      </w:r>
    </w:p>
    <w:p>
      <w:pPr>
        <w:pStyle w:val="Compact"/>
        <w:numPr>
          <w:ilvl w:val="0"/>
          <w:numId w:val="1012"/>
        </w:numPr>
      </w:pPr>
      <w:r>
        <w:t xml:space="preserve">RSAs within 4.0%–4.5% of average loans.</w:t>
      </w:r>
    </w:p>
    <w:p>
      <w:pPr>
        <w:pStyle w:val="FirstParagraph"/>
      </w:pPr>
      <w:r>
        <w:t xml:space="preserve">Management’s June commentary was supportive of all those targets. A guidance increase is possible if credit remains materially better than expected, but Synchrony may prefer to preserve flexibility given fuel costs, interest-rate uncertainty and the future seasoning of newer accounts.</w:t>
      </w:r>
    </w:p>
    <w:p>
      <w:pPr>
        <w:pStyle w:val="BodyText"/>
      </w:pPr>
      <w:r>
        <w:t xml:space="preserve">The strongest signal would be management indicating that EPS is tracking toward the</w:t>
      </w:r>
      <w:r>
        <w:t xml:space="preserve"> </w:t>
      </w:r>
      <w:r>
        <w:rPr>
          <w:b/>
          <w:bCs/>
        </w:rPr>
        <w:t xml:space="preserve">upper half</w:t>
      </w:r>
      <w:r>
        <w:t xml:space="preserve"> </w:t>
      </w:r>
      <w:r>
        <w:t xml:space="preserve">of the existing range without relying on a large reserve release.</w:t>
      </w:r>
    </w:p>
    <w:bookmarkEnd w:id="20"/>
    <w:bookmarkStart w:id="24" w:name="bull-base-and-bear-interpretations"/>
    <w:p>
      <w:pPr>
        <w:pStyle w:val="Heading2"/>
      </w:pPr>
      <w:r>
        <w:t xml:space="preserve">Bull, base and bear interpretations</w:t>
      </w:r>
    </w:p>
    <w:bookmarkStart w:id="21" w:name="bull-case"/>
    <w:p>
      <w:pPr>
        <w:pStyle w:val="Heading3"/>
      </w:pPr>
      <w:r>
        <w:t xml:space="preserve">Bull case</w:t>
      </w:r>
    </w:p>
    <w:p>
      <w:pPr>
        <w:pStyle w:val="Compact"/>
        <w:numPr>
          <w:ilvl w:val="0"/>
          <w:numId w:val="1013"/>
        </w:numPr>
      </w:pPr>
      <w:r>
        <w:t xml:space="preserve">Purchase volume remains in the high-single digits.</w:t>
      </w:r>
    </w:p>
    <w:p>
      <w:pPr>
        <w:pStyle w:val="Compact"/>
        <w:numPr>
          <w:ilvl w:val="0"/>
          <w:numId w:val="1013"/>
        </w:numPr>
      </w:pPr>
      <w:r>
        <w:t xml:space="preserve">Receivables clearly accelerate beyond May’s 1.8% growth.</w:t>
      </w:r>
    </w:p>
    <w:p>
      <w:pPr>
        <w:pStyle w:val="Compact"/>
        <w:numPr>
          <w:ilvl w:val="0"/>
          <w:numId w:val="1013"/>
        </w:numPr>
      </w:pPr>
      <w:r>
        <w:t xml:space="preserve">Delinquencies remain better than seasonality.</w:t>
      </w:r>
    </w:p>
    <w:p>
      <w:pPr>
        <w:pStyle w:val="Compact"/>
        <w:numPr>
          <w:ilvl w:val="0"/>
          <w:numId w:val="1013"/>
        </w:numPr>
      </w:pPr>
      <w:r>
        <w:t xml:space="preserve">The second-quarter charge-off peak is below or near 5.5%.</w:t>
      </w:r>
    </w:p>
    <w:p>
      <w:pPr>
        <w:pStyle w:val="Compact"/>
        <w:numPr>
          <w:ilvl w:val="0"/>
          <w:numId w:val="1013"/>
        </w:numPr>
      </w:pPr>
      <w:r>
        <w:t xml:space="preserve">Walmart and Home &amp; Auto commentary is constructive.</w:t>
      </w:r>
    </w:p>
    <w:p>
      <w:pPr>
        <w:pStyle w:val="Compact"/>
        <w:numPr>
          <w:ilvl w:val="0"/>
          <w:numId w:val="1013"/>
        </w:numPr>
      </w:pPr>
      <w:r>
        <w:t xml:space="preserve">Guidance moves toward the upper half of the range.</w:t>
      </w:r>
    </w:p>
    <w:p>
      <w:pPr>
        <w:pStyle w:val="Compact"/>
        <w:numPr>
          <w:ilvl w:val="0"/>
          <w:numId w:val="1013"/>
        </w:numPr>
      </w:pPr>
      <w:r>
        <w:t xml:space="preserve">Buybacks continue at an aggressive pace.</w:t>
      </w:r>
    </w:p>
    <w:bookmarkEnd w:id="21"/>
    <w:bookmarkStart w:id="22" w:name="base-case"/>
    <w:p>
      <w:pPr>
        <w:pStyle w:val="Heading3"/>
      </w:pPr>
      <w:r>
        <w:t xml:space="preserve">Base case</w:t>
      </w:r>
    </w:p>
    <w:p>
      <w:pPr>
        <w:pStyle w:val="Compact"/>
        <w:numPr>
          <w:ilvl w:val="0"/>
          <w:numId w:val="1014"/>
        </w:numPr>
      </w:pPr>
      <w:r>
        <w:t xml:space="preserve">Mid-single-digit purchase-volume growth.</w:t>
      </w:r>
    </w:p>
    <w:p>
      <w:pPr>
        <w:pStyle w:val="Compact"/>
        <w:numPr>
          <w:ilvl w:val="0"/>
          <w:numId w:val="1014"/>
        </w:numPr>
      </w:pPr>
      <w:r>
        <w:t xml:space="preserve">Gradual receivables acceleration.</w:t>
      </w:r>
    </w:p>
    <w:p>
      <w:pPr>
        <w:pStyle w:val="Compact"/>
        <w:numPr>
          <w:ilvl w:val="0"/>
          <w:numId w:val="1014"/>
        </w:numPr>
      </w:pPr>
      <w:r>
        <w:t xml:space="preserve">Charge-offs in the mid-5% area.</w:t>
      </w:r>
    </w:p>
    <w:p>
      <w:pPr>
        <w:pStyle w:val="Compact"/>
        <w:numPr>
          <w:ilvl w:val="0"/>
          <w:numId w:val="1014"/>
        </w:numPr>
      </w:pPr>
      <w:r>
        <w:t xml:space="preserve">NIM remains near 15% or better.</w:t>
      </w:r>
    </w:p>
    <w:p>
      <w:pPr>
        <w:pStyle w:val="Compact"/>
        <w:numPr>
          <w:ilvl w:val="0"/>
          <w:numId w:val="1014"/>
        </w:numPr>
      </w:pPr>
      <w:r>
        <w:t xml:space="preserve">Guidance is reiterated.</w:t>
      </w:r>
    </w:p>
    <w:p>
      <w:pPr>
        <w:pStyle w:val="Compact"/>
        <w:numPr>
          <w:ilvl w:val="0"/>
          <w:numId w:val="1014"/>
        </w:numPr>
      </w:pPr>
      <w:r>
        <w:t xml:space="preserve">Expense and RSA growth absorb part of the credit upside.</w:t>
      </w:r>
    </w:p>
    <w:bookmarkEnd w:id="22"/>
    <w:bookmarkStart w:id="23" w:name="bear-case"/>
    <w:p>
      <w:pPr>
        <w:pStyle w:val="Heading3"/>
      </w:pPr>
      <w:r>
        <w:t xml:space="preserve">Bear case</w:t>
      </w:r>
    </w:p>
    <w:p>
      <w:pPr>
        <w:pStyle w:val="Compact"/>
        <w:numPr>
          <w:ilvl w:val="0"/>
          <w:numId w:val="1015"/>
        </w:numPr>
      </w:pPr>
      <w:r>
        <w:t xml:space="preserve">Payment rates remain high enough to prevent meaningful loan growth.</w:t>
      </w:r>
    </w:p>
    <w:p>
      <w:pPr>
        <w:pStyle w:val="Compact"/>
        <w:numPr>
          <w:ilvl w:val="0"/>
          <w:numId w:val="1015"/>
        </w:numPr>
      </w:pPr>
      <w:r>
        <w:t xml:space="preserve">Home &amp; Auto fails to improve despite seasonal demand.</w:t>
      </w:r>
    </w:p>
    <w:p>
      <w:pPr>
        <w:pStyle w:val="Compact"/>
        <w:numPr>
          <w:ilvl w:val="0"/>
          <w:numId w:val="1015"/>
        </w:numPr>
      </w:pPr>
      <w:r>
        <w:t xml:space="preserve">Delinquencies or newer-vintage performance weaken.</w:t>
      </w:r>
    </w:p>
    <w:p>
      <w:pPr>
        <w:pStyle w:val="Compact"/>
        <w:numPr>
          <w:ilvl w:val="0"/>
          <w:numId w:val="1015"/>
        </w:numPr>
      </w:pPr>
      <w:r>
        <w:t xml:space="preserve">Management backs away from mid-single-digit year-end receivables growth.</w:t>
      </w:r>
    </w:p>
    <w:p>
      <w:pPr>
        <w:pStyle w:val="Compact"/>
        <w:numPr>
          <w:ilvl w:val="0"/>
          <w:numId w:val="1015"/>
        </w:numPr>
      </w:pPr>
      <w:r>
        <w:t xml:space="preserve">Funding costs or expenses rise faster than expected.</w:t>
      </w:r>
    </w:p>
    <w:p>
      <w:pPr>
        <w:pStyle w:val="Compact"/>
        <w:numPr>
          <w:ilvl w:val="0"/>
          <w:numId w:val="1015"/>
        </w:numPr>
      </w:pPr>
      <w:r>
        <w:t xml:space="preserve">Capital return slows without a corresponding increase in organic investment.</w:t>
      </w:r>
    </w:p>
    <w:bookmarkEnd w:id="23"/>
    <w:bookmarkEnd w:id="24"/>
    <w:bookmarkStart w:id="25" w:name="bottom-line"/>
    <w:p>
      <w:pPr>
        <w:pStyle w:val="Heading2"/>
      </w:pPr>
      <w:r>
        <w:t xml:space="preserve">Bottom line</w:t>
      </w:r>
    </w:p>
    <w:p>
      <w:pPr>
        <w:pStyle w:val="FirstParagraph"/>
      </w:pPr>
      <w:r>
        <w:t xml:space="preserve">The setup is constructive. Credit remains strong, spending has accelerated and receivables have finally returned to growth. The second-quarter report should therefore be judged less on the headline EPS number—which may be affected by reserve movements—and more on whether Synchrony can demonstrate a credible transition from</w:t>
      </w:r>
      <w:r>
        <w:t xml:space="preserve"> </w:t>
      </w:r>
      <w:r>
        <w:rPr>
          <w:b/>
          <w:bCs/>
        </w:rPr>
        <w:t xml:space="preserve">credit-led earnings strength to growth-led earnings strength</w:t>
      </w:r>
      <w:r>
        <w:t xml:space="preserve">.</w:t>
      </w:r>
    </w:p>
    <w:p>
      <w:pPr>
        <w:pStyle w:val="BodyText"/>
      </w:pPr>
      <w:r>
        <w:t xml:space="preserve">The three figures that matter most are:</w:t>
      </w:r>
    </w:p>
    <w:p>
      <w:pPr>
        <w:pStyle w:val="Compact"/>
        <w:numPr>
          <w:ilvl w:val="0"/>
          <w:numId w:val="1016"/>
        </w:numPr>
      </w:pPr>
      <w:r>
        <w:rPr>
          <w:b/>
          <w:bCs/>
        </w:rPr>
        <w:t xml:space="preserve">Period-end receivables growth</w:t>
      </w:r>
    </w:p>
    <w:p>
      <w:pPr>
        <w:pStyle w:val="Compact"/>
        <w:numPr>
          <w:ilvl w:val="0"/>
          <w:numId w:val="1016"/>
        </w:numPr>
      </w:pPr>
      <w:r>
        <w:rPr>
          <w:b/>
          <w:bCs/>
        </w:rPr>
        <w:t xml:space="preserve">30+ delinquency and net charge-off rates</w:t>
      </w:r>
    </w:p>
    <w:p>
      <w:pPr>
        <w:pStyle w:val="Compact"/>
        <w:numPr>
          <w:ilvl w:val="0"/>
          <w:numId w:val="1016"/>
        </w:numPr>
      </w:pPr>
      <w:r>
        <w:rPr>
          <w:b/>
          <w:bCs/>
        </w:rPr>
        <w:t xml:space="preserve">The implied position within the</w:t>
      </w:r>
      <w:r>
        <w:rPr>
          <w:b/>
          <w:bCs/>
        </w:rPr>
        <w:t xml:space="preserve"> </w:t>
      </w:r>
      <m:oMath>
        <m:r>
          <m:t>9.10</m:t>
        </m:r>
        <m:r>
          <m:rPr>
            <m:sty m:val="p"/>
          </m:rPr>
          <m:t>–</m:t>
        </m:r>
      </m:oMath>
      <w:r>
        <w:rPr>
          <w:b/>
          <w:bCs/>
        </w:rPr>
        <w:t xml:space="preserve">9.50 EPS range</w:t>
      </w:r>
    </w:p>
    <w:p>
      <w:pPr>
        <w:pStyle w:val="FirstParagraph"/>
      </w:pPr>
      <w:r>
        <w:t xml:space="preserve">If those are favorable, the combination of a single-digit earnings multiple and substantial excess-capital capacity gives the stock a compelling setup. If growth again fails to translate from purchase volume into balances, the market is likely to question the year-end outlook despite otherwise strong credit performance.</w:t>
      </w:r>
    </w:p>
    <w:p>
      <w:pPr>
        <w:pStyle w:val="BodyText"/>
      </w:pPr>
      <w:r>
        <w:rPr>
          <w:i/>
          <w:iCs/>
        </w:rPr>
        <w:t xml:space="preserve">Sources: Synchrony earnings releases, financial supplements, SEC filings, April 2026 credit statistics, first-quarter earnings call, June 2026 Morgan Stanley conference commentary, and market-price data through July 20,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2026-07-21T00:06:46Z</dcterms:created>
  <dcterms:modified xsi:type="dcterms:W3CDTF">2026-07-21T00:06:46Z</dcterms:modified>
</cp:coreProperties>
</file>

<file path=docProps/custom.xml><?xml version="1.0" encoding="utf-8"?>
<Properties xmlns="http://schemas.openxmlformats.org/officeDocument/2006/custom-properties" xmlns:vt="http://schemas.openxmlformats.org/officeDocument/2006/docPropsVTypes"/>
</file>