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yf-earnings-predictions--2026-07-21"/>
    <w:p>
      <w:pPr>
        <w:pStyle w:val="Heading1"/>
      </w:pPr>
      <w:r>
        <w:t xml:space="preserve">SYF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~$2.36 vs. cons $2.30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Ending loan receivables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~$101.7B vs. cons $100.5B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charge-off rate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~5.34% vs. cons 5.47%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diluted EPS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~$9.30 midpoint vs. cons $9.32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Year-end receivables growth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~5.5% vs. cons 4.8% (FY26 year-end)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charge-off-rate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~5.45% vs. cons 5.43%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(FADE)</w:t>
            </w:r>
          </w:p>
        </w:tc>
        <w:tc>
          <w:tcPr/>
          <w:p>
            <w:pPr>
              <w:pStyle w:val="Compact"/>
            </w:pPr>
            <w:r>
              <w:t xml:space="preserve">Day 1 residual ~2.8% vs. 0.0% baseline; 5-day residual ~1.2% vs. 0.0% baseline. A credit-and-growth beat should initially reward the stock, but unchanged FY26 EPS guidance near the consensus midpoint leaves limited out-period estimate upside; retailer-share, loyalty, and technology costs should constrain revisions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2026-07-21T00:05:50Z</dcterms:created>
  <dcterms:modified xsi:type="dcterms:W3CDTF">2026-07-21T00:05:50Z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