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08eed43c21b5bfa7c9b60949eade761d590ea7"/>
    <w:p>
      <w:pPr>
        <w:pStyle w:val="Heading1"/>
      </w:pPr>
      <w:r>
        <w:t xml:space="preserve">Synchrony Financial (SYF) — 2Q26 Earnings Preview</w:t>
      </w:r>
    </w:p>
    <w:p>
      <w:pPr>
        <w:pStyle w:val="FirstParagraph"/>
      </w:pPr>
      <w:r>
        <w:rPr>
          <w:b/>
          <w:bCs/>
        </w:rPr>
        <w:t xml:space="preserve">Event:</w:t>
      </w:r>
      <w:r>
        <w:t xml:space="preserve"> </w:t>
      </w:r>
      <w:r>
        <w:t xml:space="preserve">2Q26 earnings release and conference call on</w:t>
      </w:r>
      <w:r>
        <w:t xml:space="preserve"> </w:t>
      </w:r>
      <w:r>
        <w:rPr>
          <w:b/>
          <w:bCs/>
        </w:rPr>
        <w:t xml:space="preserve">Tuesday, July 21, 2026</w:t>
      </w:r>
      <w:r>
        <w:br/>
      </w:r>
      <w:r>
        <w:rPr>
          <w:b/>
          <w:bCs/>
        </w:rPr>
        <w:t xml:space="preserve">Preview date:</w:t>
      </w:r>
      <w:r>
        <w:t xml:space="preserve"> </w:t>
      </w:r>
      <w:r>
        <w:t xml:space="preserve">Monday, July 20, 2026</w:t>
      </w:r>
      <w:r>
        <w:br/>
      </w:r>
      <w:r>
        <w:rPr>
          <w:b/>
          <w:bCs/>
        </w:rPr>
        <w:t xml:space="preserve">Core view:</w:t>
      </w:r>
      <w:r>
        <w:t xml:space="preserve"> </w:t>
      </w:r>
      <w:r>
        <w:t xml:space="preserve">Synchrony enters the quarter with improving receivables growth, still-benign credit performance, and meaningful capital-return capacity. The central question is whether those strengths are enough to support the</w:t>
      </w:r>
      <w:r>
        <w:t xml:space="preserve"> </w:t>
      </w:r>
      <w:r>
        <w:rPr>
          <w:b/>
          <w:bCs/>
        </w:rPr>
        <w:t xml:space="preserve">upper half of its</w:t>
      </w:r>
      <w:r>
        <w:rPr>
          <w:b/>
          <w:bCs/>
        </w:rPr>
        <w:t xml:space="preserve"> </w:t>
      </w:r>
      <m:oMath>
        <m:r>
          <m:t>9.10</m:t>
        </m:r>
        <m:r>
          <m:rPr>
            <m:sty m:val="p"/>
          </m:rPr>
          <m:t>–</m:t>
        </m:r>
      </m:oMath>
      <w:r>
        <w:rPr>
          <w:b/>
          <w:bCs/>
        </w:rPr>
        <w:t xml:space="preserve">9.50 FY26 diluted-EPS outlook</w:t>
      </w:r>
      <w:r>
        <w:t xml:space="preserve"> </w:t>
      </w:r>
      <w:r>
        <w:t xml:space="preserve">while funding costs, retailer-share arrangements, elevated payment rates, and new-program startup costs remain offsets.</w:t>
      </w:r>
    </w:p>
    <w:bookmarkStart w:id="9" w:name="what-matters-most"/>
    <w:p>
      <w:pPr>
        <w:pStyle w:val="Heading2"/>
      </w:pPr>
      <w:r>
        <w:t xml:space="preserve">What matters most</w:t>
      </w:r>
    </w:p>
    <w:p>
      <w:pPr>
        <w:pStyle w:val="FirstParagraph"/>
      </w:pPr>
      <w:r>
        <w:t xml:space="preserve">This is likely to be a</w:t>
      </w:r>
      <w:r>
        <w:t xml:space="preserve"> </w:t>
      </w:r>
      <w:r>
        <w:rPr>
          <w:b/>
          <w:bCs/>
        </w:rPr>
        <w:t xml:space="preserve">quality-of-earnings and outlook</w:t>
      </w:r>
      <w:r>
        <w:t xml:space="preserve"> </w:t>
      </w:r>
      <w:r>
        <w:t xml:space="preserve">quarter rather than solely a headline-EPS event. Investors should focus on four items:</w:t>
      </w:r>
    </w:p>
    <w:p>
      <w:pPr>
        <w:numPr>
          <w:ilvl w:val="0"/>
          <w:numId w:val="1001"/>
        </w:numPr>
      </w:pPr>
      <w:r>
        <w:rPr>
          <w:b/>
          <w:bCs/>
        </w:rPr>
        <w:t xml:space="preserve">Credit performance through the seasonal 2Q peak.</w:t>
      </w:r>
      <w:r>
        <w:t xml:space="preserve"> </w:t>
      </w:r>
      <w:r>
        <w:t xml:space="preserve">Management has said net charge-offs should peak in the second quarter, while still expecting FY26 charge-offs below 5.5%. The most important read-through will be whether losses, delinquencies, and reserve trends remain consistent with that framework.</w:t>
      </w:r>
    </w:p>
    <w:p>
      <w:pPr>
        <w:numPr>
          <w:ilvl w:val="0"/>
          <w:numId w:val="1001"/>
        </w:numPr>
      </w:pPr>
      <w:r>
        <w:rPr>
          <w:b/>
          <w:bCs/>
        </w:rPr>
        <w:t xml:space="preserve">Evidence that receivables growth is inflecting.</w:t>
      </w:r>
      <w:r>
        <w:t xml:space="preserve"> </w:t>
      </w:r>
      <w:r>
        <w:t xml:space="preserve">SYF’s 1Q ending receivables were essentially flat year over year, but management guided to mid-single-digit growth by year-end. June commentary indicated three consecutive months of positive loan growth and</w:t>
      </w:r>
      <w:r>
        <w:t xml:space="preserve"> </w:t>
      </w:r>
      <w:r>
        <w:rPr>
          <w:b/>
          <w:bCs/>
        </w:rPr>
        <w:t xml:space="preserve">1.8% year-over-year ending-loan growth</w:t>
      </w:r>
      <w:r>
        <w:t xml:space="preserve">, helped by the April onboarding of Lowe’s commercial co-brand receivables and improving purchase-volume trends.</w:t>
      </w:r>
    </w:p>
    <w:p>
      <w:pPr>
        <w:numPr>
          <w:ilvl w:val="0"/>
          <w:numId w:val="1001"/>
        </w:numPr>
      </w:pPr>
      <w:r>
        <w:rPr>
          <w:b/>
          <w:bCs/>
        </w:rPr>
        <w:t xml:space="preserve">Revenue conversion amid high payment rates.</w:t>
      </w:r>
      <w:r>
        <w:t xml:space="preserve"> </w:t>
      </w:r>
      <w:r>
        <w:t xml:space="preserve">Higher payment rates are good for credit but suppress revolving balances and interest income. The market will want evidence that accelerating spend, program launches, and normalization in payment behavior can overcome this headwind.</w:t>
      </w:r>
    </w:p>
    <w:p>
      <w:pPr>
        <w:numPr>
          <w:ilvl w:val="0"/>
          <w:numId w:val="1001"/>
        </w:numPr>
      </w:pPr>
      <w:r>
        <w:rPr>
          <w:b/>
          <w:bCs/>
        </w:rPr>
        <w:t xml:space="preserve">Capital return.</w:t>
      </w:r>
      <w:r>
        <w:t xml:space="preserve"> </w:t>
      </w:r>
      <w:r>
        <w:t xml:space="preserve">SYF repurchased</w:t>
      </w:r>
      <w:r>
        <w:t xml:space="preserve"> </w:t>
      </w:r>
      <m:oMath>
        <m:r>
          <m:t>900</m:t>
        </m:r>
        <m:r>
          <m:t>m</m:t>
        </m:r>
        <m:r>
          <m:t>i</m:t>
        </m:r>
        <m:r>
          <m:t>l</m:t>
        </m:r>
        <m:r>
          <m:t>l</m:t>
        </m:r>
        <m:r>
          <m:t>i</m:t>
        </m:r>
        <m:r>
          <m:t>o</m:t>
        </m:r>
        <m:r>
          <m:t>n</m:t>
        </m:r>
        <m:r>
          <m:t>o</m:t>
        </m:r>
        <m:r>
          <m:t>f</m:t>
        </m:r>
        <m:r>
          <m:t>s</m:t>
        </m:r>
        <m:r>
          <m:t>t</m:t>
        </m:r>
        <m:r>
          <m:t>o</m:t>
        </m:r>
        <m:r>
          <m:t>c</m:t>
        </m:r>
        <m:r>
          <m:t>k</m:t>
        </m:r>
        <m:r>
          <m:t>i</m:t>
        </m:r>
        <m:r>
          <m:t>n</m:t>
        </m:r>
        <m:r>
          <m:t>1</m:t>
        </m:r>
        <m:r>
          <m:t>Q</m:t>
        </m:r>
        <m:r>
          <m:t>a</m:t>
        </m:r>
        <m:r>
          <m:t>n</m:t>
        </m:r>
        <m:r>
          <m:t>d</m:t>
        </m:r>
        <m:r>
          <m:t>h</m:t>
        </m:r>
        <m:r>
          <m:t>a</m:t>
        </m:r>
        <m:r>
          <m:t>s</m:t>
        </m:r>
        <m:r>
          <m:t>a</m:t>
        </m:r>
        <m:r>
          <m:t>n</m:t>
        </m:r>
        <m:r>
          <m:t>e</m:t>
        </m:r>
        <m:r>
          <m:t>w</m:t>
        </m:r>
        <m:r>
          <m:rPr>
            <m:sty m:val="p"/>
          </m:rPr>
          <m:t>,</m:t>
        </m:r>
        <m:r>
          <m:t>o</m:t>
        </m:r>
        <m:r>
          <m:t>p</m:t>
        </m:r>
        <m:r>
          <m:t>e</m:t>
        </m:r>
        <m:r>
          <m:t>n</m:t>
        </m:r>
        <m:r>
          <m:rPr>
            <m:sty m:val="p"/>
          </m:rPr>
          <m:t>−</m:t>
        </m:r>
        <m:r>
          <m:t>e</m:t>
        </m:r>
        <m:r>
          <m:t>n</m:t>
        </m:r>
        <m:r>
          <m:t>d</m:t>
        </m:r>
        <m:r>
          <m:t>e</m:t>
        </m:r>
        <m:r>
          <m:t>d</m:t>
        </m:r>
        <m:r>
          <m:rPr>
            <m:sty m:val="p"/>
          </m:rPr>
          <m:t>*</m:t>
        </m:r>
        <m:r>
          <m:rPr>
            <m:sty m:val="p"/>
          </m:rPr>
          <m:t>*</m:t>
        </m:r>
      </m:oMath>
      <w:r>
        <w:t xml:space="preserve">6.5 billion** repurchase authorization. The pace of 2Q buybacks, CET1 movement, and management’s willingness to discuss capital deployment should matter materially to the equity story.</w:t>
      </w:r>
    </w:p>
    <w:p>
      <w:r>
        <w:pict>
          <v:rect style="width:0;height:1.5pt" o:hralign="center" o:hrstd="t" o:hr="t"/>
        </w:pict>
      </w:r>
    </w:p>
    <w:bookmarkEnd w:id="9"/>
    <w:bookmarkStart w:id="10" w:name="starting-point-a-strong-1q26"/>
    <w:p>
      <w:pPr>
        <w:pStyle w:val="Heading2"/>
      </w:pPr>
      <w:r>
        <w:t xml:space="preserve">Starting point: a strong 1Q26</w:t>
      </w:r>
    </w:p>
    <w:p>
      <w:pPr>
        <w:pStyle w:val="FirstParagraph"/>
      </w:pPr>
      <w:r>
        <w:t xml:space="preserve">SYF reported 1Q26 diluted EPS of</w:t>
      </w:r>
      <w:r>
        <w:t xml:space="preserve"> </w:t>
      </w:r>
      <w:r>
        <w:rPr>
          <w:b/>
          <w:bCs/>
        </w:rPr>
        <w:t xml:space="preserve">$2.27</w:t>
      </w:r>
      <w:r>
        <w:t xml:space="preserve">, up from</w:t>
      </w:r>
      <w:r>
        <w:t xml:space="preserve"> </w:t>
      </w:r>
      <m:oMath>
        <m:r>
          <m:t>1.89</m:t>
        </m:r>
        <m:r>
          <m:t>a</m:t>
        </m:r>
        <m:r>
          <m:t>y</m:t>
        </m:r>
        <m:r>
          <m:t>e</m:t>
        </m:r>
        <m:r>
          <m:t>a</m:t>
        </m:r>
        <m:r>
          <m:t>r</m:t>
        </m:r>
        <m:r>
          <m:t>e</m:t>
        </m:r>
        <m:r>
          <m:t>a</m:t>
        </m:r>
        <m:r>
          <m:t>r</m:t>
        </m:r>
        <m:r>
          <m:t>l</m:t>
        </m:r>
        <m:r>
          <m:t>i</m:t>
        </m:r>
        <m:r>
          <m:t>e</m:t>
        </m:r>
        <m:r>
          <m:t>r</m:t>
        </m:r>
        <m:r>
          <m:rPr>
            <m:sty m:val="p"/>
          </m:rPr>
          <m:t>.</m:t>
        </m:r>
        <m:r>
          <m:t>N</m:t>
        </m:r>
        <m:r>
          <m:t>e</m:t>
        </m:r>
        <m:r>
          <m:t>t</m:t>
        </m:r>
        <m:r>
          <m:t>e</m:t>
        </m:r>
        <m:r>
          <m:t>a</m:t>
        </m:r>
        <m:r>
          <m:t>r</m:t>
        </m:r>
        <m:r>
          <m:t>n</m:t>
        </m:r>
        <m:r>
          <m:t>i</m:t>
        </m:r>
        <m:r>
          <m:t>n</m:t>
        </m:r>
        <m:r>
          <m:t>g</m:t>
        </m:r>
        <m:r>
          <m:t>s</m:t>
        </m:r>
        <m:r>
          <m:t>w</m:t>
        </m:r>
        <m:r>
          <m:t>e</m:t>
        </m:r>
        <m:r>
          <m:t>r</m:t>
        </m:r>
        <m:r>
          <m:t>e</m:t>
        </m:r>
        <m:r>
          <m:rPr>
            <m:sty m:val="p"/>
          </m:rPr>
          <m:t>*</m:t>
        </m:r>
        <m:r>
          <m:rPr>
            <m:sty m:val="p"/>
          </m:rPr>
          <m:t>*</m:t>
        </m:r>
      </m:oMath>
      <w:r>
        <w:t xml:space="preserve">805 million**, while return on average assets was</w:t>
      </w:r>
      <w:r>
        <w:t xml:space="preserve"> </w:t>
      </w:r>
      <w:r>
        <w:rPr>
          <w:b/>
          <w:bCs/>
        </w:rPr>
        <w:t xml:space="preserve">2.7%</w:t>
      </w:r>
      <w:r>
        <w:t xml:space="preserve"> </w:t>
      </w:r>
      <w:r>
        <w:t xml:space="preserve">and return on tangible common equity was</w:t>
      </w:r>
      <w:r>
        <w:t xml:space="preserve"> </w:t>
      </w:r>
      <w:r>
        <w:rPr>
          <w:b/>
          <w:bCs/>
        </w:rPr>
        <w:t xml:space="preserve">24.5%</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Year/year change</w:t>
            </w:r>
          </w:p>
        </w:tc>
      </w:tr>
      <w:tr>
        <w:tc>
          <w:tcPr/>
          <w:p>
            <w:pPr>
              <w:pStyle w:val="Compact"/>
            </w:pPr>
            <w:r>
              <w:t xml:space="preserve">Diluted EPS</w:t>
            </w:r>
          </w:p>
        </w:tc>
        <w:tc>
          <w:tcPr/>
          <w:p>
            <w:pPr>
              <w:pStyle w:val="Compact"/>
              <w:jc w:val="right"/>
            </w:pPr>
            <w:r>
              <w:rPr>
                <w:b/>
                <w:bCs/>
              </w:rPr>
              <w:t xml:space="preserve">$2.27</w:t>
            </w:r>
          </w:p>
        </w:tc>
        <w:tc>
          <w:tcPr/>
          <w:p>
            <w:pPr>
              <w:pStyle w:val="Compact"/>
              <w:jc w:val="right"/>
            </w:pPr>
            <w:r>
              <w:t xml:space="preserve">+20%</w:t>
            </w:r>
          </w:p>
        </w:tc>
      </w:tr>
      <w:tr>
        <w:tc>
          <w:tcPr/>
          <w:p>
            <w:pPr>
              <w:pStyle w:val="Compact"/>
            </w:pPr>
            <w:r>
              <w:t xml:space="preserve">Net earnings</w:t>
            </w:r>
          </w:p>
        </w:tc>
        <w:tc>
          <w:tcPr/>
          <w:p>
            <w:pPr>
              <w:pStyle w:val="Compact"/>
              <w:jc w:val="right"/>
            </w:pPr>
            <w:r>
              <w:rPr>
                <w:b/>
                <w:bCs/>
              </w:rPr>
              <w:t xml:space="preserve">$805M</w:t>
            </w:r>
          </w:p>
        </w:tc>
        <w:tc>
          <w:tcPr/>
          <w:p>
            <w:pPr>
              <w:pStyle w:val="Compact"/>
              <w:jc w:val="right"/>
            </w:pPr>
            <w:r>
              <w:t xml:space="preserve">+6%</w:t>
            </w:r>
          </w:p>
        </w:tc>
      </w:tr>
      <w:tr>
        <w:tc>
          <w:tcPr/>
          <w:p>
            <w:pPr>
              <w:pStyle w:val="Compact"/>
            </w:pPr>
            <w:r>
              <w:t xml:space="preserve">Purchase volume</w:t>
            </w:r>
          </w:p>
        </w:tc>
        <w:tc>
          <w:tcPr/>
          <w:p>
            <w:pPr>
              <w:pStyle w:val="Compact"/>
              <w:jc w:val="right"/>
            </w:pPr>
            <w:r>
              <w:rPr>
                <w:b/>
                <w:bCs/>
              </w:rPr>
              <w:t xml:space="preserve">$43.0B</w:t>
            </w:r>
          </w:p>
        </w:tc>
        <w:tc>
          <w:tcPr/>
          <w:p>
            <w:pPr>
              <w:pStyle w:val="Compact"/>
              <w:jc w:val="right"/>
            </w:pPr>
            <w:r>
              <w:t xml:space="preserve">+6%</w:t>
            </w:r>
          </w:p>
        </w:tc>
      </w:tr>
      <w:tr>
        <w:tc>
          <w:tcPr/>
          <w:p>
            <w:pPr>
              <w:pStyle w:val="Compact"/>
            </w:pPr>
            <w:r>
              <w:t xml:space="preserve">Ending loan receivables</w:t>
            </w:r>
          </w:p>
        </w:tc>
        <w:tc>
          <w:tcPr/>
          <w:p>
            <w:pPr>
              <w:pStyle w:val="Compact"/>
              <w:jc w:val="right"/>
            </w:pPr>
            <w:r>
              <w:rPr>
                <w:b/>
                <w:bCs/>
              </w:rPr>
              <w:t xml:space="preserve">$100.1B</w:t>
            </w:r>
          </w:p>
        </w:tc>
        <w:tc>
          <w:tcPr/>
          <w:p>
            <w:pPr>
              <w:pStyle w:val="Compact"/>
              <w:jc w:val="right"/>
            </w:pPr>
            <w:r>
              <w:t xml:space="preserve">+0.5%</w:t>
            </w:r>
          </w:p>
        </w:tc>
      </w:tr>
      <w:tr>
        <w:tc>
          <w:tcPr/>
          <w:p>
            <w:pPr>
              <w:pStyle w:val="Compact"/>
            </w:pPr>
            <w:r>
              <w:t xml:space="preserve">Net interest income</w:t>
            </w:r>
          </w:p>
        </w:tc>
        <w:tc>
          <w:tcPr/>
          <w:p>
            <w:pPr>
              <w:pStyle w:val="Compact"/>
              <w:jc w:val="right"/>
            </w:pPr>
            <w:r>
              <w:rPr>
                <w:b/>
                <w:bCs/>
              </w:rPr>
              <w:t xml:space="preserve">$4.64B</w:t>
            </w:r>
          </w:p>
        </w:tc>
        <w:tc>
          <w:tcPr/>
          <w:p>
            <w:pPr>
              <w:pStyle w:val="Compact"/>
              <w:jc w:val="right"/>
            </w:pPr>
            <w:r>
              <w:t xml:space="preserve">+4%</w:t>
            </w:r>
          </w:p>
        </w:tc>
      </w:tr>
      <w:tr>
        <w:tc>
          <w:tcPr/>
          <w:p>
            <w:pPr>
              <w:pStyle w:val="Compact"/>
            </w:pPr>
            <w:r>
              <w:t xml:space="preserve">Net interest margin</w:t>
            </w:r>
          </w:p>
        </w:tc>
        <w:tc>
          <w:tcPr/>
          <w:p>
            <w:pPr>
              <w:pStyle w:val="Compact"/>
              <w:jc w:val="right"/>
            </w:pPr>
            <w:r>
              <w:rPr>
                <w:b/>
                <w:bCs/>
              </w:rPr>
              <w:t xml:space="preserve">15.50%</w:t>
            </w:r>
          </w:p>
        </w:tc>
        <w:tc>
          <w:tcPr/>
          <w:p>
            <w:pPr>
              <w:pStyle w:val="Compact"/>
              <w:jc w:val="right"/>
            </w:pPr>
            <w:r>
              <w:t xml:space="preserve">+76 bps</w:t>
            </w:r>
          </w:p>
        </w:tc>
      </w:tr>
      <w:tr>
        <w:tc>
          <w:tcPr/>
          <w:p>
            <w:pPr>
              <w:pStyle w:val="Compact"/>
            </w:pPr>
            <w:r>
              <w:t xml:space="preserve">Net charge-off rate</w:t>
            </w:r>
          </w:p>
        </w:tc>
        <w:tc>
          <w:tcPr/>
          <w:p>
            <w:pPr>
              <w:pStyle w:val="Compact"/>
              <w:jc w:val="right"/>
            </w:pPr>
            <w:r>
              <w:rPr>
                <w:b/>
                <w:bCs/>
              </w:rPr>
              <w:t xml:space="preserve">5.42%</w:t>
            </w:r>
          </w:p>
        </w:tc>
        <w:tc>
          <w:tcPr/>
          <w:p>
            <w:pPr>
              <w:pStyle w:val="Compact"/>
              <w:jc w:val="right"/>
            </w:pPr>
            <w:r>
              <w:t xml:space="preserve">-96 bps</w:t>
            </w:r>
          </w:p>
        </w:tc>
      </w:tr>
      <w:tr>
        <w:tc>
          <w:tcPr/>
          <w:p>
            <w:pPr>
              <w:pStyle w:val="Compact"/>
            </w:pPr>
            <w:r>
              <w:t xml:space="preserve">30+ day delinquency rate</w:t>
            </w:r>
          </w:p>
        </w:tc>
        <w:tc>
          <w:tcPr/>
          <w:p>
            <w:pPr>
              <w:pStyle w:val="Compact"/>
              <w:jc w:val="right"/>
            </w:pPr>
            <w:r>
              <w:rPr>
                <w:b/>
                <w:bCs/>
              </w:rPr>
              <w:t xml:space="preserve">4.54%</w:t>
            </w:r>
          </w:p>
        </w:tc>
        <w:tc>
          <w:tcPr/>
          <w:p>
            <w:pPr>
              <w:pStyle w:val="Compact"/>
              <w:jc w:val="right"/>
            </w:pPr>
            <w:r>
              <w:t xml:space="preserve">roughly flat</w:t>
            </w:r>
          </w:p>
        </w:tc>
      </w:tr>
      <w:tr>
        <w:tc>
          <w:tcPr/>
          <w:p>
            <w:pPr>
              <w:pStyle w:val="Compact"/>
            </w:pPr>
            <w:r>
              <w:t xml:space="preserve">CET1 ratio</w:t>
            </w:r>
          </w:p>
        </w:tc>
        <w:tc>
          <w:tcPr/>
          <w:p>
            <w:pPr>
              <w:pStyle w:val="Compact"/>
              <w:jc w:val="right"/>
            </w:pPr>
            <w:r>
              <w:rPr>
                <w:b/>
                <w:bCs/>
              </w:rPr>
              <w:t xml:space="preserve">12.7%</w:t>
            </w:r>
          </w:p>
        </w:tc>
        <w:tc>
          <w:tcPr/>
          <w:p>
            <w:pPr>
              <w:pStyle w:val="Compact"/>
              <w:jc w:val="right"/>
            </w:pPr>
            <w:r>
              <w:t xml:space="preserve">-50 bps</w:t>
            </w:r>
          </w:p>
        </w:tc>
      </w:tr>
    </w:tbl>
    <w:p>
      <w:pPr>
        <w:pStyle w:val="BodyText"/>
      </w:pPr>
      <w:r>
        <w:t xml:space="preserve">The fundamental 1Q setup was favorable: higher loan yields and lower funding costs lifted NII and NIM, while charge-offs fell materially. The offsets were rising retailer-share arrangements, higher technology and operational expenses, and elevated customer payment rates that restrained balance growth.</w:t>
      </w:r>
    </w:p>
    <w:p>
      <w:r>
        <w:pict>
          <v:rect style="width:0;height:1.5pt" o:hralign="center" o:hrstd="t" o:hr="t"/>
        </w:pict>
      </w:r>
    </w:p>
    <w:bookmarkEnd w:id="10"/>
    <w:bookmarkStart w:id="15" w:name="why-2q-could-be-constructive"/>
    <w:p>
      <w:pPr>
        <w:pStyle w:val="Heading2"/>
      </w:pPr>
      <w:r>
        <w:t xml:space="preserve">Why 2Q could be constructive</w:t>
      </w:r>
    </w:p>
    <w:bookmarkStart w:id="11" w:name="Xffbe4e281934b56ffd145a363609222fad13ace"/>
    <w:p>
      <w:pPr>
        <w:pStyle w:val="Heading3"/>
      </w:pPr>
      <w:r>
        <w:t xml:space="preserve">1. Credit has remained better than feared</w:t>
      </w:r>
    </w:p>
    <w:p>
      <w:pPr>
        <w:pStyle w:val="FirstParagraph"/>
      </w:pPr>
      <w:r>
        <w:t xml:space="preserve">The most consequential positive development is continued credit stability. At its June 9 conference appearance, SYF said</w:t>
      </w:r>
      <w:r>
        <w:t xml:space="preserve"> </w:t>
      </w:r>
      <w:r>
        <w:rPr>
          <w:b/>
          <w:bCs/>
        </w:rPr>
        <w:t xml:space="preserve">30+ day delinquencies were 4.2%</w:t>
      </w:r>
      <w:r>
        <w:t xml:space="preserve"> </w:t>
      </w:r>
      <w:r>
        <w:t xml:space="preserve">and better than normal seasonality, while losses were tracking in line with normalized 2017–2019 patterns.</w:t>
      </w:r>
    </w:p>
    <w:p>
      <w:pPr>
        <w:pStyle w:val="BodyText"/>
      </w:pPr>
      <w:r>
        <w:t xml:space="preserve">That is important because management expects 2Q to be the seasonal charge-off peak. If losses remain controlled through that period, SYF can retain credibility around its</w:t>
      </w:r>
      <w:r>
        <w:t xml:space="preserve"> </w:t>
      </w:r>
      <w:r>
        <w:rPr>
          <w:b/>
          <w:bCs/>
        </w:rPr>
        <w:t xml:space="preserve">sub-5.5% FY26 NCO outlook</w:t>
      </w:r>
      <w:r>
        <w:t xml:space="preserve">—and investors may increasingly underwrite less need for reserve building.</w:t>
      </w:r>
    </w:p>
    <w:p>
      <w:pPr>
        <w:pStyle w:val="BodyText"/>
      </w:pPr>
      <w:r>
        <w:t xml:space="preserve">The qualification: SYF’s customer base is consumer-sensitive, and management has acknowledged that elevated gasoline prices could pressure spending and payment behavior if sustained into the fall. The near-term data have not shown that deterioration, but this remains the key macro risk.</w:t>
      </w:r>
    </w:p>
    <w:bookmarkEnd w:id="11"/>
    <w:bookmarkStart w:id="12" w:name="X391a65fb89d9ff312b68e08adc31193db9a32fe"/>
    <w:p>
      <w:pPr>
        <w:pStyle w:val="Heading3"/>
      </w:pPr>
      <w:r>
        <w:t xml:space="preserve">2. Growth appears to be moving from promise to evidence</w:t>
      </w:r>
    </w:p>
    <w:p>
      <w:pPr>
        <w:pStyle w:val="FirstParagraph"/>
      </w:pPr>
      <w:r>
        <w:t xml:space="preserve">SYF’s 1Q purchase volume grew 6%, but ending receivables were only up 0.5% because payment rates stayed high. The intermediate update was more encouraging: management reported that ending receivables were up</w:t>
      </w:r>
      <w:r>
        <w:t xml:space="preserve"> </w:t>
      </w:r>
      <w:r>
        <w:rPr>
          <w:b/>
          <w:bCs/>
        </w:rPr>
        <w:t xml:space="preserve">1.8% year over year</w:t>
      </w:r>
      <w:r>
        <w:t xml:space="preserve"> </w:t>
      </w:r>
      <w:r>
        <w:t xml:space="preserve">by early June and described purchase-volume growth as sustaining a mid- to high-single-digit pace.</w:t>
      </w:r>
    </w:p>
    <w:p>
      <w:pPr>
        <w:pStyle w:val="BodyText"/>
      </w:pPr>
      <w:r>
        <w:t xml:space="preserve">The drivers are becoming more tangible:</w:t>
      </w:r>
    </w:p>
    <w:p>
      <w:pPr>
        <w:pStyle w:val="Compact"/>
        <w:numPr>
          <w:ilvl w:val="0"/>
          <w:numId w:val="1002"/>
        </w:numPr>
      </w:pPr>
      <w:r>
        <w:rPr>
          <w:b/>
          <w:bCs/>
        </w:rPr>
        <w:t xml:space="preserve">Lowe’s commercial co-brand receivables:</w:t>
      </w:r>
      <w:r>
        <w:t xml:space="preserve"> </w:t>
      </w:r>
      <w:r>
        <w:t xml:space="preserve">approximately</w:t>
      </w:r>
      <w:r>
        <w:t xml:space="preserve"> </w:t>
      </w:r>
      <w:r>
        <w:rPr>
          <w:b/>
          <w:bCs/>
        </w:rPr>
        <w:t xml:space="preserve">$725 million</w:t>
      </w:r>
      <w:r>
        <w:t xml:space="preserve"> </w:t>
      </w:r>
      <w:r>
        <w:t xml:space="preserve">came on in early April.</w:t>
      </w:r>
    </w:p>
    <w:p>
      <w:pPr>
        <w:pStyle w:val="Compact"/>
        <w:numPr>
          <w:ilvl w:val="0"/>
          <w:numId w:val="1002"/>
        </w:numPr>
      </w:pPr>
      <w:r>
        <w:rPr>
          <w:b/>
          <w:bCs/>
        </w:rPr>
        <w:t xml:space="preserve">Walmart OnePay:</w:t>
      </w:r>
      <w:r>
        <w:t xml:space="preserve"> </w:t>
      </w:r>
      <w:r>
        <w:t xml:space="preserve">management describes it as its fastest-ever de novo program, with strong engagement among Walmart+ customers.</w:t>
      </w:r>
    </w:p>
    <w:p>
      <w:pPr>
        <w:pStyle w:val="Compact"/>
        <w:numPr>
          <w:ilvl w:val="0"/>
          <w:numId w:val="1002"/>
        </w:numPr>
      </w:pPr>
      <w:r>
        <w:rPr>
          <w:b/>
          <w:bCs/>
        </w:rPr>
        <w:t xml:space="preserve">New programs:</w:t>
      </w:r>
      <w:r>
        <w:t xml:space="preserve"> </w:t>
      </w:r>
      <w:r>
        <w:t xml:space="preserve">Bob’s Discount Furniture and RH are intended to help the Home &amp; Auto platform, where account trends and discretionary spending have lagged.</w:t>
      </w:r>
    </w:p>
    <w:p>
      <w:pPr>
        <w:pStyle w:val="Compact"/>
        <w:numPr>
          <w:ilvl w:val="0"/>
          <w:numId w:val="1002"/>
        </w:numPr>
      </w:pPr>
      <w:r>
        <w:rPr>
          <w:b/>
          <w:bCs/>
        </w:rPr>
        <w:t xml:space="preserve">Core spending:</w:t>
      </w:r>
      <w:r>
        <w:t xml:space="preserve"> </w:t>
      </w:r>
      <w:r>
        <w:t xml:space="preserve">Memorial Day trends reportedly improved in HVAC, home improvement, furniture, and luxury—categories that matter disproportionately to Synchrony’s promotional-finance franchise.</w:t>
      </w:r>
    </w:p>
    <w:p>
      <w:pPr>
        <w:pStyle w:val="FirstParagraph"/>
      </w:pPr>
      <w:r>
        <w:t xml:space="preserve">A confirmation of accelerating receivables, particularly ex-acquisition effects, would support the case that SYF can reach its year-end mid-single-digit balance-growth target.</w:t>
      </w:r>
    </w:p>
    <w:bookmarkEnd w:id="12"/>
    <w:bookmarkStart w:id="13" w:name="Xcc11af65a5f58b05d99826fee1d4846403cc184"/>
    <w:p>
      <w:pPr>
        <w:pStyle w:val="Heading3"/>
      </w:pPr>
      <w:r>
        <w:t xml:space="preserve">3. NII should remain resilient, but payment rates are the swing factor</w:t>
      </w:r>
    </w:p>
    <w:p>
      <w:pPr>
        <w:pStyle w:val="FirstParagraph"/>
      </w:pPr>
      <w:r>
        <w:t xml:space="preserve">In 1Q, NII grew 4% to $4.64 billion and NIM expanded 76 bps year over year to 15.50%, benefiting from pricing and lower funding costs. For full-year 2026, management still expects NII growth on higher receivables, the continued build from pricing and product changes, and lower funding costs.</w:t>
      </w:r>
    </w:p>
    <w:p>
      <w:pPr>
        <w:pStyle w:val="BodyText"/>
      </w:pPr>
      <w:r>
        <w:t xml:space="preserve">For 2Q, the competing forces are clear:</w:t>
      </w:r>
    </w:p>
    <w:p>
      <w:pPr>
        <w:pStyle w:val="Compact"/>
        <w:numPr>
          <w:ilvl w:val="0"/>
          <w:numId w:val="1003"/>
        </w:numPr>
      </w:pPr>
      <w:r>
        <w:rPr>
          <w:b/>
          <w:bCs/>
        </w:rPr>
        <w:t xml:space="preserve">Tailwinds:</w:t>
      </w:r>
      <w:r>
        <w:t xml:space="preserve"> </w:t>
      </w:r>
      <w:r>
        <w:t xml:space="preserve">higher receivables, continuing program repricing benefits, deposit-cost relief, and mix shift toward loans.</w:t>
      </w:r>
    </w:p>
    <w:p>
      <w:pPr>
        <w:pStyle w:val="Compact"/>
        <w:numPr>
          <w:ilvl w:val="0"/>
          <w:numId w:val="1003"/>
        </w:numPr>
      </w:pPr>
      <w:r>
        <w:rPr>
          <w:b/>
          <w:bCs/>
        </w:rPr>
        <w:t xml:space="preserve">Headwinds:</w:t>
      </w:r>
      <w:r>
        <w:t xml:space="preserve"> </w:t>
      </w:r>
      <w:r>
        <w:t xml:space="preserve">still-elevated payment rates, lower late-fee incidence, and potentially lower liquidity-portfolio yields.</w:t>
      </w:r>
    </w:p>
    <w:p>
      <w:pPr>
        <w:pStyle w:val="FirstParagraph"/>
      </w:pPr>
      <w:r>
        <w:t xml:space="preserve">The key metric is not simply NIM; it is whether</w:t>
      </w:r>
      <w:r>
        <w:t xml:space="preserve"> </w:t>
      </w:r>
      <w:r>
        <w:rPr>
          <w:b/>
          <w:bCs/>
        </w:rPr>
        <w:t xml:space="preserve">interest income on receivables and revolving-balance formation</w:t>
      </w:r>
      <w:r>
        <w:t xml:space="preserve"> </w:t>
      </w:r>
      <w:r>
        <w:t xml:space="preserve">accelerate enough to offset payment-rate pressure. A sustained high payment rate is constructive for losses but limits revenue and balance growth.</w:t>
      </w:r>
    </w:p>
    <w:bookmarkEnd w:id="13"/>
    <w:bookmarkStart w:id="14" w:name="Xce2f547bbf12639acb48e2c1528d7e62711ea9a"/>
    <w:p>
      <w:pPr>
        <w:pStyle w:val="Heading3"/>
      </w:pPr>
      <w:r>
        <w:t xml:space="preserve">4. Capital return remains a differentiated part of the setup</w:t>
      </w:r>
    </w:p>
    <w:p>
      <w:pPr>
        <w:pStyle w:val="FirstParagraph"/>
      </w:pPr>
      <w:r>
        <w:t xml:space="preserve">SYF returned approximately</w:t>
      </w:r>
      <w:r>
        <w:t xml:space="preserve"> </w:t>
      </w:r>
      <w:r>
        <w:rPr>
          <w:b/>
          <w:bCs/>
        </w:rPr>
        <w:t xml:space="preserve">$1.0 billion</w:t>
      </w:r>
      <w:r>
        <w:t xml:space="preserve"> </w:t>
      </w:r>
      <w:r>
        <w:t xml:space="preserve">to shareholders in 1Q, including $900 million in repurchases and</w:t>
      </w:r>
      <w:r>
        <w:t xml:space="preserve"> </w:t>
      </w:r>
      <m:oMath>
        <m:r>
          <m:t>104</m:t>
        </m:r>
        <m:r>
          <m:t>m</m:t>
        </m:r>
        <m:r>
          <m:t>i</m:t>
        </m:r>
        <m:r>
          <m:t>l</m:t>
        </m:r>
        <m:r>
          <m:t>l</m:t>
        </m:r>
        <m:r>
          <m:t>i</m:t>
        </m:r>
        <m:r>
          <m:t>o</m:t>
        </m:r>
        <m:r>
          <m:t>n</m:t>
        </m:r>
        <m:r>
          <m:t>i</m:t>
        </m:r>
        <m:r>
          <m:t>n</m:t>
        </m:r>
        <m:r>
          <m:t>c</m:t>
        </m:r>
        <m:r>
          <m:t>o</m:t>
        </m:r>
        <m:r>
          <m:t>m</m:t>
        </m:r>
        <m:r>
          <m:t>m</m:t>
        </m:r>
        <m:r>
          <m:t>o</m:t>
        </m:r>
        <m:r>
          <m:t>n</m:t>
        </m:r>
        <m:r>
          <m:t>d</m:t>
        </m:r>
        <m:r>
          <m:t>i</m:t>
        </m:r>
        <m:r>
          <m:t>v</m:t>
        </m:r>
        <m:r>
          <m:t>i</m:t>
        </m:r>
        <m:r>
          <m:t>d</m:t>
        </m:r>
        <m:r>
          <m:t>e</m:t>
        </m:r>
        <m:r>
          <m:t>n</m:t>
        </m:r>
        <m:r>
          <m:t>d</m:t>
        </m:r>
        <m:r>
          <m:t>s</m:t>
        </m:r>
        <m:r>
          <m:rPr>
            <m:sty m:val="p"/>
          </m:rPr>
          <m:t>.</m:t>
        </m:r>
        <m:r>
          <m:t>I</m:t>
        </m:r>
        <m:r>
          <m:t>t</m:t>
        </m:r>
        <m:r>
          <m:t>a</m:t>
        </m:r>
        <m:r>
          <m:t>l</m:t>
        </m:r>
        <m:r>
          <m:t>s</m:t>
        </m:r>
        <m:r>
          <m:t>o</m:t>
        </m:r>
        <m:r>
          <m:t>r</m:t>
        </m:r>
        <m:r>
          <m:t>e</m:t>
        </m:r>
        <m:r>
          <m:t>p</m:t>
        </m:r>
        <m:r>
          <m:t>l</m:t>
        </m:r>
        <m:r>
          <m:t>a</m:t>
        </m:r>
        <m:r>
          <m:t>c</m:t>
        </m:r>
        <m:r>
          <m:t>e</m:t>
        </m:r>
        <m:r>
          <m:t>d</m:t>
        </m:r>
        <m:r>
          <m:t>i</m:t>
        </m:r>
        <m:r>
          <m:t>t</m:t>
        </m:r>
        <m:r>
          <m:t>s</m:t>
        </m:r>
        <m:r>
          <m:t>p</m:t>
        </m:r>
        <m:r>
          <m:t>r</m:t>
        </m:r>
        <m:r>
          <m:t>i</m:t>
        </m:r>
        <m:r>
          <m:t>o</m:t>
        </m:r>
        <m:r>
          <m:t>r</m:t>
        </m:r>
        <m:r>
          <m:t>a</m:t>
        </m:r>
        <m:r>
          <m:t>u</m:t>
        </m:r>
        <m:r>
          <m:t>t</m:t>
        </m:r>
        <m:r>
          <m:t>h</m:t>
        </m:r>
        <m:r>
          <m:t>o</m:t>
        </m:r>
        <m:r>
          <m:t>r</m:t>
        </m:r>
        <m:r>
          <m:t>i</m:t>
        </m:r>
        <m:r>
          <m:t>z</m:t>
        </m:r>
        <m:r>
          <m:t>a</m:t>
        </m:r>
        <m:r>
          <m:t>t</m:t>
        </m:r>
        <m:r>
          <m:t>i</m:t>
        </m:r>
        <m:r>
          <m:t>o</m:t>
        </m:r>
        <m:r>
          <m:t>n</m:t>
        </m:r>
        <m:r>
          <m:t>w</m:t>
        </m:r>
        <m:r>
          <m:t>i</m:t>
        </m:r>
        <m:r>
          <m:t>t</m:t>
        </m:r>
        <m:r>
          <m:t>h</m:t>
        </m:r>
        <m:r>
          <m:t>a</m:t>
        </m:r>
        <m:r>
          <m:t>n</m:t>
        </m:r>
        <m:r>
          <m:t>o</m:t>
        </m:r>
        <m:r>
          <m:t>p</m:t>
        </m:r>
        <m:r>
          <m:t>e</m:t>
        </m:r>
        <m:r>
          <m:t>n</m:t>
        </m:r>
        <m:r>
          <m:rPr>
            <m:sty m:val="p"/>
          </m:rPr>
          <m:t>−</m:t>
        </m:r>
        <m:r>
          <m:t>e</m:t>
        </m:r>
        <m:r>
          <m:t>n</m:t>
        </m:r>
        <m:r>
          <m:t>d</m:t>
        </m:r>
        <m:r>
          <m:t>e</m:t>
        </m:r>
        <m:r>
          <m:t>d</m:t>
        </m:r>
        <m:r>
          <m:rPr>
            <m:sty m:val="p"/>
          </m:rPr>
          <m:t>*</m:t>
        </m:r>
        <m:r>
          <m:rPr>
            <m:sty m:val="p"/>
          </m:rPr>
          <m:t>*</m:t>
        </m:r>
      </m:oMath>
      <w:r>
        <w:t xml:space="preserve">6.5 billion** buyback program.</w:t>
      </w:r>
    </w:p>
    <w:p>
      <w:pPr>
        <w:pStyle w:val="BodyText"/>
      </w:pPr>
      <w:r>
        <w:t xml:space="preserve">Capital remains a key equity support:</w:t>
      </w:r>
    </w:p>
    <w:p>
      <w:pPr>
        <w:pStyle w:val="Compact"/>
        <w:numPr>
          <w:ilvl w:val="0"/>
          <w:numId w:val="1004"/>
        </w:numPr>
      </w:pPr>
      <w:r>
        <w:t xml:space="preserve">CET1 ended 1Q at</w:t>
      </w:r>
      <w:r>
        <w:t xml:space="preserve"> </w:t>
      </w:r>
      <w:r>
        <w:rPr>
          <w:b/>
          <w:bCs/>
        </w:rPr>
        <w:t xml:space="preserve">12.7%</w:t>
      </w:r>
      <w:r>
        <w:t xml:space="preserve">, versus an 11% target referenced by management.</w:t>
      </w:r>
    </w:p>
    <w:p>
      <w:pPr>
        <w:pStyle w:val="Compact"/>
        <w:numPr>
          <w:ilvl w:val="0"/>
          <w:numId w:val="1004"/>
        </w:numPr>
      </w:pPr>
      <w:r>
        <w:t xml:space="preserve">The company highlighted approximately</w:t>
      </w:r>
      <w:r>
        <w:t xml:space="preserve"> </w:t>
      </w:r>
      <w:r>
        <w:rPr>
          <w:b/>
          <w:bCs/>
        </w:rPr>
        <w:t xml:space="preserve">350 bps of CET1 generation</w:t>
      </w:r>
      <w:r>
        <w:t xml:space="preserve"> </w:t>
      </w:r>
      <w:r>
        <w:t xml:space="preserve">over the trailing 12 months through 1Q.</w:t>
      </w:r>
    </w:p>
    <w:p>
      <w:pPr>
        <w:pStyle w:val="Compact"/>
        <w:numPr>
          <w:ilvl w:val="0"/>
          <w:numId w:val="1004"/>
        </w:numPr>
      </w:pPr>
      <w:r>
        <w:t xml:space="preserve">SYF issued a new</w:t>
      </w:r>
      <w:r>
        <w:t xml:space="preserve"> </w:t>
      </w:r>
      <w:r>
        <w:rPr>
          <w:b/>
          <w:bCs/>
        </w:rPr>
        <w:t xml:space="preserve">7.25% fixed-rate-reset Series C preferred</w:t>
      </w:r>
      <w:r>
        <w:t xml:space="preserve"> </w:t>
      </w:r>
      <w:r>
        <w:t xml:space="preserve">in June. The transaction supports the capital stack, though the associated preferred dividend is a modest incremental drag on earnings available to common shareholders.</w:t>
      </w:r>
    </w:p>
    <w:p>
      <w:pPr>
        <w:pStyle w:val="FirstParagraph"/>
      </w:pPr>
      <w:r>
        <w:t xml:space="preserve">Investors should watch 2Q repurchases and any update on the intended cadence. Management has consistently framed its approach as “aggressive but prudent,” rather than committing to a fixed quarterly buyback amount.</w:t>
      </w:r>
    </w:p>
    <w:p>
      <w:r>
        <w:pict>
          <v:rect style="width:0;height:1.5pt" o:hralign="center" o:hrstd="t" o:hr="t"/>
        </w:pict>
      </w:r>
    </w:p>
    <w:bookmarkEnd w:id="14"/>
    <w:bookmarkEnd w:id="15"/>
    <w:bookmarkStart w:id="16" w:name="Xe6bf560f6225358fffd2c87094f2cb9caad5ca9"/>
    <w:p>
      <w:pPr>
        <w:pStyle w:val="Heading2"/>
      </w:pPr>
      <w:r>
        <w:t xml:space="preserve">The main debate: can SYF move toward the high end of FY26 guidance?</w:t>
      </w:r>
    </w:p>
    <w:p>
      <w:pPr>
        <w:pStyle w:val="FirstParagraph"/>
      </w:pPr>
      <w:r>
        <w:t xml:space="preserve">Management’s current FY26 diluted-EPS range is</w:t>
      </w:r>
      <w:r>
        <w:t xml:space="preserve"> </w:t>
      </w:r>
      <m:oMath>
        <m:r>
          <m:t>9.10</m:t>
        </m:r>
        <m:r>
          <m:rPr>
            <m:sty m:val="p"/>
          </m:rPr>
          <m:t>–</m:t>
        </m:r>
      </m:oMath>
      <w:r>
        <w:rPr>
          <w:b/>
          <w:bCs/>
        </w:rPr>
        <w:t xml:space="preserve">9.50</w:t>
      </w:r>
      <w:r>
        <w:t xml:space="preserve">. The variables that determine where SYF lands within the range are straightforward: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Path toward the high end</w:t>
            </w:r>
          </w:p>
        </w:tc>
        <w:tc>
          <w:tcPr/>
          <w:p>
            <w:pPr>
              <w:pStyle w:val="Compact"/>
            </w:pPr>
            <w:r>
              <w:t xml:space="preserve">Path toward the low end</w:t>
            </w:r>
          </w:p>
        </w:tc>
      </w:tr>
      <w:tr>
        <w:tc>
          <w:tcPr/>
          <w:p>
            <w:pPr>
              <w:pStyle w:val="Compact"/>
            </w:pPr>
            <w:r>
              <w:t xml:space="preserve">Charge-offs and delinquencies remain favorable through 2Q seasonality</w:t>
            </w:r>
          </w:p>
        </w:tc>
        <w:tc>
          <w:tcPr/>
          <w:p>
            <w:pPr>
              <w:pStyle w:val="Compact"/>
            </w:pPr>
            <w:r>
              <w:t xml:space="preserve">Credit normalizes faster than expected or reserve needs rise</w:t>
            </w:r>
          </w:p>
        </w:tc>
      </w:tr>
      <w:tr>
        <w:tc>
          <w:tcPr/>
          <w:p>
            <w:pPr>
              <w:pStyle w:val="Compact"/>
            </w:pPr>
            <w:r>
              <w:t xml:space="preserve">Payment rates ease, supporting revolving balances and NII</w:t>
            </w:r>
          </w:p>
        </w:tc>
        <w:tc>
          <w:tcPr/>
          <w:p>
            <w:pPr>
              <w:pStyle w:val="Compact"/>
            </w:pPr>
            <w:r>
              <w:t xml:space="preserve">Payment rates remain elevated, limiting receivables and interest income</w:t>
            </w:r>
          </w:p>
        </w:tc>
      </w:tr>
      <w:tr>
        <w:tc>
          <w:tcPr/>
          <w:p>
            <w:pPr>
              <w:pStyle w:val="Compact"/>
            </w:pPr>
            <w:r>
              <w:t xml:space="preserve">New programs and core spend drive accelerating receivables growth</w:t>
            </w:r>
          </w:p>
        </w:tc>
        <w:tc>
          <w:tcPr/>
          <w:p>
            <w:pPr>
              <w:pStyle w:val="Compact"/>
            </w:pPr>
            <w:r>
              <w:t xml:space="preserve">Growth relies too heavily on portfolio additions rather than core account engagement</w:t>
            </w:r>
          </w:p>
        </w:tc>
      </w:tr>
      <w:tr>
        <w:tc>
          <w:tcPr/>
          <w:p>
            <w:pPr>
              <w:pStyle w:val="Compact"/>
            </w:pPr>
            <w:r>
              <w:t xml:space="preserve">Expenses grow more slowly than revenue as new programs scale</w:t>
            </w:r>
          </w:p>
        </w:tc>
        <w:tc>
          <w:tcPr/>
          <w:p>
            <w:pPr>
              <w:pStyle w:val="Compact"/>
            </w:pPr>
            <w:r>
              <w:t xml:space="preserve">Technology, cloud, AI, operational-loss, and loyalty costs remain elevated</w:t>
            </w:r>
          </w:p>
        </w:tc>
      </w:tr>
      <w:tr>
        <w:tc>
          <w:tcPr/>
          <w:p>
            <w:pPr>
              <w:pStyle w:val="Compact"/>
            </w:pPr>
            <w:r>
              <w:t xml:space="preserve">Continued sizable buybacks reduce the share count</w:t>
            </w:r>
          </w:p>
        </w:tc>
        <w:tc>
          <w:tcPr/>
          <w:p>
            <w:pPr>
              <w:pStyle w:val="Compact"/>
            </w:pPr>
            <w:r>
              <w:t xml:space="preserve">Capital deployment slows amid macro or regulatory caution</w:t>
            </w:r>
          </w:p>
        </w:tc>
      </w:tr>
    </w:tbl>
    <w:p>
      <w:pPr>
        <w:pStyle w:val="BodyText"/>
      </w:pPr>
      <w:r>
        <w:t xml:space="preserve">Management has not embedded a firm reserve release into guidance. Therefore, continued good credit could be upside, but investors should not assume it is a base-case earnings contributor.</w:t>
      </w:r>
    </w:p>
    <w:p>
      <w:r>
        <w:pict>
          <v:rect style="width:0;height:1.5pt" o:hralign="center" o:hrstd="t" o:hr="t"/>
        </w:pict>
      </w:r>
    </w:p>
    <w:bookmarkEnd w:id="16"/>
    <w:bookmarkStart w:id="21" w:name="key-metrics-to-watch-on-july-21"/>
    <w:p>
      <w:pPr>
        <w:pStyle w:val="Heading2"/>
      </w:pPr>
      <w:r>
        <w:t xml:space="preserve">Key metrics to watch on July 21</w:t>
      </w:r>
    </w:p>
    <w:bookmarkStart w:id="17" w:name="credit"/>
    <w:p>
      <w:pPr>
        <w:pStyle w:val="Heading3"/>
      </w:pPr>
      <w:r>
        <w:t xml:space="preserve">Credit</w:t>
      </w:r>
    </w:p>
    <w:p>
      <w:pPr>
        <w:pStyle w:val="Compact"/>
        <w:numPr>
          <w:ilvl w:val="0"/>
          <w:numId w:val="1005"/>
        </w:numPr>
      </w:pPr>
      <w:r>
        <w:rPr>
          <w:b/>
          <w:bCs/>
        </w:rPr>
        <w:t xml:space="preserve">Net charge-off rate:</w:t>
      </w:r>
      <w:r>
        <w:t xml:space="preserve"> </w:t>
      </w:r>
      <w:r>
        <w:t xml:space="preserve">The key quarter, given management’s expectation that 2Q is the annual peak.</w:t>
      </w:r>
    </w:p>
    <w:p>
      <w:pPr>
        <w:pStyle w:val="Compact"/>
        <w:numPr>
          <w:ilvl w:val="0"/>
          <w:numId w:val="1005"/>
        </w:numPr>
      </w:pPr>
      <w:r>
        <w:rPr>
          <w:b/>
          <w:bCs/>
        </w:rPr>
        <w:t xml:space="preserve">30+ and 90+ day delinquencies:</w:t>
      </w:r>
      <w:r>
        <w:t xml:space="preserve"> </w:t>
      </w:r>
      <w:r>
        <w:t xml:space="preserve">Particularly whether the favorable June 30+ trend persists into quarter-end.</w:t>
      </w:r>
    </w:p>
    <w:p>
      <w:pPr>
        <w:pStyle w:val="Compact"/>
        <w:numPr>
          <w:ilvl w:val="0"/>
          <w:numId w:val="1005"/>
        </w:numPr>
      </w:pPr>
      <w:r>
        <w:rPr>
          <w:b/>
          <w:bCs/>
        </w:rPr>
        <w:t xml:space="preserve">Allowance ratio and provision:</w:t>
      </w:r>
      <w:r>
        <w:t xml:space="preserve"> </w:t>
      </w:r>
      <w:r>
        <w:t xml:space="preserve">Watch for any reserve build that signals greater macro caution.</w:t>
      </w:r>
    </w:p>
    <w:bookmarkEnd w:id="17"/>
    <w:bookmarkStart w:id="18" w:name="growth-and-consumer-behavior"/>
    <w:p>
      <w:pPr>
        <w:pStyle w:val="Heading3"/>
      </w:pPr>
      <w:r>
        <w:t xml:space="preserve">Growth and consumer behavior</w:t>
      </w:r>
    </w:p>
    <w:p>
      <w:pPr>
        <w:pStyle w:val="Compact"/>
        <w:numPr>
          <w:ilvl w:val="0"/>
          <w:numId w:val="1006"/>
        </w:numPr>
      </w:pPr>
      <w:r>
        <w:rPr>
          <w:b/>
          <w:bCs/>
        </w:rPr>
        <w:t xml:space="preserve">Purchase-volume growth:</w:t>
      </w:r>
      <w:r>
        <w:t xml:space="preserve"> </w:t>
      </w:r>
      <w:r>
        <w:t xml:space="preserve">Management has indicated mid- to high-single-digit momentum; confirmation matters.</w:t>
      </w:r>
    </w:p>
    <w:p>
      <w:pPr>
        <w:pStyle w:val="Compact"/>
        <w:numPr>
          <w:ilvl w:val="0"/>
          <w:numId w:val="1006"/>
        </w:numPr>
      </w:pPr>
      <w:r>
        <w:rPr>
          <w:b/>
          <w:bCs/>
        </w:rPr>
        <w:t xml:space="preserve">Ending and average receivables:</w:t>
      </w:r>
      <w:r>
        <w:t xml:space="preserve"> </w:t>
      </w:r>
      <w:r>
        <w:t xml:space="preserve">The strongest evidence for the year-end growth guide.</w:t>
      </w:r>
    </w:p>
    <w:p>
      <w:pPr>
        <w:pStyle w:val="Compact"/>
        <w:numPr>
          <w:ilvl w:val="0"/>
          <w:numId w:val="1006"/>
        </w:numPr>
      </w:pPr>
      <w:r>
        <w:rPr>
          <w:b/>
          <w:bCs/>
        </w:rPr>
        <w:t xml:space="preserve">Payment rate:</w:t>
      </w:r>
      <w:r>
        <w:t xml:space="preserve"> </w:t>
      </w:r>
      <w:r>
        <w:t xml:space="preserve">A modest decline would be economically favorable even if it reflects less consumer strength.</w:t>
      </w:r>
    </w:p>
    <w:p>
      <w:pPr>
        <w:pStyle w:val="Compact"/>
        <w:numPr>
          <w:ilvl w:val="0"/>
          <w:numId w:val="1006"/>
        </w:numPr>
      </w:pPr>
      <w:r>
        <w:rPr>
          <w:b/>
          <w:bCs/>
        </w:rPr>
        <w:t xml:space="preserve">Home &amp; Auto trends:</w:t>
      </w:r>
      <w:r>
        <w:t xml:space="preserve"> </w:t>
      </w:r>
      <w:r>
        <w:t xml:space="preserve">Furniture, home improvement, and promotional financing are important swing categories.</w:t>
      </w:r>
    </w:p>
    <w:bookmarkEnd w:id="18"/>
    <w:bookmarkStart w:id="19" w:name="earnings-mechanics"/>
    <w:p>
      <w:pPr>
        <w:pStyle w:val="Heading3"/>
      </w:pPr>
      <w:r>
        <w:t xml:space="preserve">Earnings mechanics</w:t>
      </w:r>
    </w:p>
    <w:p>
      <w:pPr>
        <w:pStyle w:val="Compact"/>
        <w:numPr>
          <w:ilvl w:val="0"/>
          <w:numId w:val="1007"/>
        </w:numPr>
      </w:pPr>
      <w:r>
        <w:rPr>
          <w:b/>
          <w:bCs/>
        </w:rPr>
        <w:t xml:space="preserve">Net interest income and NIM:</w:t>
      </w:r>
      <w:r>
        <w:t xml:space="preserve"> </w:t>
      </w:r>
      <w:r>
        <w:t xml:space="preserve">The balance between lower funding costs and high payment rates.</w:t>
      </w:r>
    </w:p>
    <w:p>
      <w:pPr>
        <w:pStyle w:val="Compact"/>
        <w:numPr>
          <w:ilvl w:val="0"/>
          <w:numId w:val="1007"/>
        </w:numPr>
      </w:pPr>
      <w:r>
        <w:rPr>
          <w:b/>
          <w:bCs/>
        </w:rPr>
        <w:t xml:space="preserve">Retailer-share arrangements:</w:t>
      </w:r>
      <w:r>
        <w:t xml:space="preserve"> </w:t>
      </w:r>
      <w:r>
        <w:t xml:space="preserve">These rose 20% year over year in 1Q; continued growth can mute the benefit of stronger program performance.</w:t>
      </w:r>
    </w:p>
    <w:p>
      <w:pPr>
        <w:pStyle w:val="Compact"/>
        <w:numPr>
          <w:ilvl w:val="0"/>
          <w:numId w:val="1007"/>
        </w:numPr>
      </w:pPr>
      <w:r>
        <w:rPr>
          <w:b/>
          <w:bCs/>
        </w:rPr>
        <w:t xml:space="preserve">Other expenses and efficiency ratio:</w:t>
      </w:r>
      <w:r>
        <w:t xml:space="preserve"> </w:t>
      </w:r>
      <w:r>
        <w:t xml:space="preserve">SYF guides expense growth roughly in line with receivables, but 1Q spending was elevated by technology investments and operational losses.</w:t>
      </w:r>
    </w:p>
    <w:p>
      <w:pPr>
        <w:pStyle w:val="Compact"/>
        <w:numPr>
          <w:ilvl w:val="0"/>
          <w:numId w:val="1007"/>
        </w:numPr>
      </w:pPr>
      <w:r>
        <w:rPr>
          <w:b/>
          <w:bCs/>
        </w:rPr>
        <w:t xml:space="preserve">Loyalty-program costs:</w:t>
      </w:r>
      <w:r>
        <w:t xml:space="preserve"> </w:t>
      </w:r>
      <w:r>
        <w:t xml:space="preserve">Rising costs can be a healthy byproduct of co-brand growth, but they pressure reported other income.</w:t>
      </w:r>
    </w:p>
    <w:bookmarkEnd w:id="19"/>
    <w:bookmarkStart w:id="20" w:name="capital-and-strategy"/>
    <w:p>
      <w:pPr>
        <w:pStyle w:val="Heading3"/>
      </w:pPr>
      <w:r>
        <w:t xml:space="preserve">Capital and strategy</w:t>
      </w:r>
    </w:p>
    <w:p>
      <w:pPr>
        <w:pStyle w:val="Compact"/>
        <w:numPr>
          <w:ilvl w:val="0"/>
          <w:numId w:val="1008"/>
        </w:numPr>
      </w:pPr>
      <w:r>
        <w:rPr>
          <w:b/>
          <w:bCs/>
        </w:rPr>
        <w:t xml:space="preserve">Repurchases and weighted-average shares:</w:t>
      </w:r>
      <w:r>
        <w:t xml:space="preserve"> </w:t>
      </w:r>
      <w:r>
        <w:t xml:space="preserve">A material contributor to FY26 EPS.</w:t>
      </w:r>
    </w:p>
    <w:p>
      <w:pPr>
        <w:pStyle w:val="Compact"/>
        <w:numPr>
          <w:ilvl w:val="0"/>
          <w:numId w:val="1008"/>
        </w:numPr>
      </w:pPr>
      <w:r>
        <w:rPr>
          <w:b/>
          <w:bCs/>
        </w:rPr>
        <w:t xml:space="preserve">CET1 ratio and preferred-capital impact.</w:t>
      </w:r>
    </w:p>
    <w:p>
      <w:pPr>
        <w:pStyle w:val="Compact"/>
        <w:numPr>
          <w:ilvl w:val="0"/>
          <w:numId w:val="1008"/>
        </w:numPr>
      </w:pPr>
      <w:r>
        <w:rPr>
          <w:b/>
          <w:bCs/>
        </w:rPr>
        <w:t xml:space="preserve">Walmart OnePay, Lowe’s commercial, Bob’s, and RH:</w:t>
      </w:r>
      <w:r>
        <w:t xml:space="preserve"> </w:t>
      </w:r>
      <w:r>
        <w:t xml:space="preserve">Updates on account production, spend, and early credit performance will help frame 2H growth.</w:t>
      </w:r>
    </w:p>
    <w:p>
      <w:pPr>
        <w:pStyle w:val="Compact"/>
        <w:numPr>
          <w:ilvl w:val="0"/>
          <w:numId w:val="1008"/>
        </w:numPr>
      </w:pPr>
      <w:r>
        <w:rPr>
          <w:b/>
          <w:bCs/>
        </w:rPr>
        <w:t xml:space="preserve">Guidance:</w:t>
      </w:r>
      <w:r>
        <w:t xml:space="preserve"> </w:t>
      </w:r>
      <w:r>
        <w:t xml:space="preserve">The largest share-price reaction is likely to come from any movement—or unusually strong confidence—in the</w:t>
      </w:r>
      <w:r>
        <w:t xml:space="preserve"> </w:t>
      </w:r>
      <m:oMath>
        <m:r>
          <m:t>9.10</m:t>
        </m:r>
        <m:r>
          <m:rPr>
            <m:sty m:val="p"/>
          </m:rPr>
          <m:t>–</m:t>
        </m:r>
      </m:oMath>
      <w:r>
        <w:t xml:space="preserve">9.50 EPS range and the year-end receivables-growth target.</w:t>
      </w:r>
    </w:p>
    <w:p>
      <w:r>
        <w:pict>
          <v:rect style="width:0;height:1.5pt" o:hralign="center" o:hrstd="t" o:hr="t"/>
        </w:pict>
      </w:r>
    </w:p>
    <w:bookmarkEnd w:id="20"/>
    <w:bookmarkEnd w:id="21"/>
    <w:bookmarkStart w:id="22" w:name="stock-setup"/>
    <w:p>
      <w:pPr>
        <w:pStyle w:val="Heading2"/>
      </w:pPr>
      <w:r>
        <w:t xml:space="preserve">Stock setup</w:t>
      </w:r>
    </w:p>
    <w:p>
      <w:pPr>
        <w:pStyle w:val="FirstParagraph"/>
      </w:pPr>
      <w:r>
        <w:t xml:space="preserve">SYF closed at</w:t>
      </w:r>
      <w:r>
        <w:t xml:space="preserve"> </w:t>
      </w:r>
      <w:r>
        <w:rPr>
          <w:b/>
          <w:bCs/>
        </w:rPr>
        <w:t xml:space="preserve">$73.43 on July 20</w:t>
      </w:r>
      <w:r>
        <w:t xml:space="preserve">, down about</w:t>
      </w:r>
      <w:r>
        <w:t xml:space="preserve"> </w:t>
      </w:r>
      <w:r>
        <w:rPr>
          <w:b/>
          <w:bCs/>
        </w:rPr>
        <w:t xml:space="preserve">5.4%</w:t>
      </w:r>
      <w:r>
        <w:t xml:space="preserve"> </w:t>
      </w:r>
      <w:r>
        <w:t xml:space="preserve">from its April 21 close, the day of 1Q earnings, despite the underlying credit and growth commentary improving into June.</w:t>
      </w:r>
    </w:p>
    <w:p>
      <w:pPr>
        <w:pStyle w:val="BodyText"/>
      </w:pPr>
      <w:r>
        <w:t xml:space="preserve">That creates a potentially constructive setup if SYF can demonstrate three things simultaneously: credit remains contained through its seasonal peak, core receivables are genuinely inflecting higher, and the company can sustain large capital returns. Conversely, a miss driven by slower revolver formation, higher retailer-share costs, or caution around the consumer would likely matter more than a modest EPS variance.</w:t>
      </w:r>
    </w:p>
    <w:bookmarkEnd w:id="22"/>
    <w:bookmarkStart w:id="23" w:name="bottom-line"/>
    <w:p>
      <w:pPr>
        <w:pStyle w:val="Heading2"/>
      </w:pPr>
      <w:r>
        <w:t xml:space="preserve">Bottom line</w:t>
      </w:r>
    </w:p>
    <w:p>
      <w:pPr>
        <w:pStyle w:val="FirstParagraph"/>
      </w:pPr>
      <w:r>
        <w:rPr>
          <w:b/>
          <w:bCs/>
        </w:rPr>
        <w:t xml:space="preserve">The bullish case:</w:t>
      </w:r>
      <w:r>
        <w:t xml:space="preserve"> </w:t>
      </w:r>
      <w:r>
        <w:t xml:space="preserve">SYF is entering 2Q with credit running better than its target range, purchase volume firming, balances beginning to grow, major new programs ramping, NII supported by funding-cost relief, and a large buyback authorization. Confirmation of these trends could shift attention from near-term credit normalization to SYF’s growth-and-capital-generation potential.</w:t>
      </w:r>
    </w:p>
    <w:p>
      <w:pPr>
        <w:pStyle w:val="BodyText"/>
      </w:pPr>
      <w:r>
        <w:rPr>
          <w:b/>
          <w:bCs/>
        </w:rPr>
        <w:t xml:space="preserve">The risk case:</w:t>
      </w:r>
      <w:r>
        <w:t xml:space="preserve"> </w:t>
      </w:r>
      <w:r>
        <w:t xml:space="preserve">The same high payment rates that validate consumer health also limit balances and NII. Meanwhile, the favorable credit backdrop may be difficult to improve further, 2Q is seasonally the loss peak, and retailer-share/loyalty costs can absorb part of the operational upside. The report needs to show that core growth—not only acquired or newly onboarded balances—is gaining momentum.</w:t>
      </w:r>
    </w:p>
    <w:p>
      <w:pPr>
        <w:pStyle w:val="BodyText"/>
      </w:pPr>
      <w:r>
        <w:rPr>
          <w:i/>
          <w:iCs/>
        </w:rPr>
        <w:t xml:space="preserve">Sources: Synchrony 1Q26 earnings release, 1Q26 earnings-call transcript, June 9, 2026 Morgan Stanley U.S. Financials Conference transcript, and subsequent Synchrony SEC filings.</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2026-07-21T00:05:50Z</dcterms:created>
  <dcterms:modified xsi:type="dcterms:W3CDTF">2026-07-21T00:05:50Z</dcterms:modified>
</cp:coreProperties>
</file>

<file path=docProps/custom.xml><?xml version="1.0" encoding="utf-8"?>
<Properties xmlns="http://schemas.openxmlformats.org/officeDocument/2006/custom-properties" xmlns:vt="http://schemas.openxmlformats.org/officeDocument/2006/docPropsVTypes"/>
</file>