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yf-earnings-predictions--2026-07-21"/>
    <w:p>
      <w:pPr>
        <w:pStyle w:val="Heading1"/>
      </w:pPr>
      <w:r>
        <w:t xml:space="preserve">SYF Earnings Predictions — 2026-07-21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Charge-Off Rate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~5.35% vs. cons 5.47%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Loan Receivables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~$101.7B vs. cons $102.1B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Operating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~$2.20 vs. cons $2.13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EPS Operating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  <w:r>
              <w:t xml:space="preserve"> </w:t>
            </w:r>
            <m:oMath>
              <m:r>
                <m:t>9.10</m:t>
              </m:r>
              <m:r>
                <m:rPr>
                  <m:sty m:val="p"/>
                </m:rPr>
                <m:t>−</m:t>
              </m:r>
            </m:oMath>
            <w:r>
              <w:t xml:space="preserve">9.50 maintained vs. cons $9.29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NCO Rate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tightened to well below 5.5% vs. cons 5.39%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Loan Receivables Growth (FY2026)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mid-single-digit by year-end maintained vs. cons $108.7B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SYF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-3.0% (STABILIZE)</w:t>
            </w:r>
          </w:p>
        </w:tc>
        <w:tc>
          <w:tcPr/>
          <w:p>
            <w:pPr>
              <w:pStyle w:val="Compact"/>
            </w:pPr>
            <w:r>
              <w:t xml:space="preserve">STABILIZE — H2 implicit cut pulls estimates down even on a beat; sell-side trims Q3/Q4 as implied out-period math is below consensus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2026-07-24T22:22:16Z</dcterms:created>
  <dcterms:modified xsi:type="dcterms:W3CDTF">2026-07-24T22:22:16Z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