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SYF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Synchrony Financial</w:t>
            </w:r>
          </w:p>
        </w:tc>
      </w:tr>
      <w:tr>
        <w:tc>
          <w:tcPr>
            <w:tcW w:type="dxa" w:w="4320"/>
          </w:tcPr>
          <w:p>
            <w:r>
              <w:rPr>
                <w:rFonts w:ascii="Calibri" w:hAnsi="Calibri"/>
                <w:b/>
                <w:sz w:val="22"/>
              </w:rPr>
              <w:t>Ticker</w:t>
            </w:r>
          </w:p>
        </w:tc>
        <w:tc>
          <w:tcPr>
            <w:tcW w:type="dxa" w:w="4320"/>
          </w:tcPr>
          <w:p>
            <w:r>
              <w:rPr>
                <w:rFonts w:ascii="Calibri" w:hAnsi="Calibri"/>
                <w:sz w:val="22"/>
              </w:rPr>
              <w:t>SYF</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21, 2026</w:t>
            </w:r>
          </w:p>
        </w:tc>
      </w:tr>
      <w:tr>
        <w:tc>
          <w:tcPr>
            <w:tcW w:type="dxa" w:w="4320"/>
          </w:tcPr>
          <w:p>
            <w:r>
              <w:rPr>
                <w:rFonts w:ascii="Calibri" w:hAnsi="Calibri"/>
                <w:b/>
                <w:sz w:val="22"/>
              </w:rPr>
              <w:t>Prepared</w:t>
            </w:r>
          </w:p>
        </w:tc>
        <w:tc>
          <w:tcPr>
            <w:tcW w:type="dxa" w:w="4320"/>
          </w:tcPr>
          <w:p>
            <w:r>
              <w:rPr>
                <w:rFonts w:ascii="Calibri" w:hAnsi="Calibri"/>
                <w:sz w:val="22"/>
              </w:rPr>
              <w:t>July 20,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is modestly constructive — consensus is a manageable bar and credit is tracking better than feared — but the stock has already de-rated since Q1 earnings, leaving the biggest swing factor as whether the </w:t>
      </w:r>
      <w:r>
        <w:rPr>
          <w:rFonts w:ascii="Calibri" w:hAnsi="Calibri"/>
          <w:b/>
          <w:color w:val="525866"/>
          <w:sz w:val="22"/>
        </w:rPr>
        <w:t>net charge-off rate</w:t>
      </w:r>
      <w:r>
        <w:rPr>
          <w:rFonts w:ascii="Calibri" w:hAnsi="Calibri"/>
          <w:color w:val="525866"/>
          <w:sz w:val="22"/>
        </w:rPr>
        <w:t xml:space="preserve"> prints at or below the 5.5% April monthly run-rate and whether loan receivables growth can sustain the positive inflection seen in Q1.</w:t>
      </w:r>
    </w:p>
    <w:p>
      <w:r>
        <w:rPr>
          <w:rFonts w:ascii="Calibri" w:hAnsi="Calibri"/>
          <w:color w:val="525866"/>
          <w:sz w:val="22"/>
        </w:rPr>
        <w:t xml:space="preserve">Heading into Q2 2026 earnings on July 21, the bar for Synchrony looks achievable: consensus sits at </w:t>
      </w:r>
      <w:r>
        <w:rPr>
          <w:rFonts w:ascii="Calibri" w:hAnsi="Calibri"/>
          <w:b/>
          <w:color w:val="525866"/>
          <w:sz w:val="22"/>
        </w:rPr>
        <w:t>$2.13 operating EPS</w:t>
      </w:r>
      <w:r>
        <w:rPr>
          <w:rFonts w:ascii="Calibri" w:hAnsi="Calibri"/>
          <w:color w:val="525866"/>
          <w:sz w:val="22"/>
        </w:rPr>
        <w:t xml:space="preserve"> (vs. $2.47 reported in Q2 2025), a level that already embeds meaningful year-over-year pressure from higher RSA payouts and a normalizing NIM, and the company's own full-year guidance of $9.10–$9.50 implies a back-half ramp that keeps Q2 as a relatively low hurdle. Management's tone at the June 9 Morgan Stanley Financials Conference was notably constructive — CFO Brian Wenzel described losses as coming in "great," confirmed 30+ delinquencies at 4.2% (better than seasonality), and flagged EOP loan growth of +1.8% including the Lowe's commercial book — all pointing to a quarter that is tracking in line to slightly ahead of the April-28 post-Q1 consensus. Estimate revisions have been modestly positive since Q1 earnings (Q2 EPS consensus moved from ~$2.08 at the April 28 snapshot to $2.13 currently), suggesting the Street has incrementally gained confidence without fully pricing in an upside scenario. The stock, however, has underperformed meaningfully since Q1 results — down ~6% vs. XLF +7% — reflecting lingering macro uncertainty and a July 8 one-day drop of ~$9 (likely driven by broader consumer credit fears), which means the stock is not pricing in a beat and any positive credit surprise could drive a sharp re-rating. The key wildcard is the </w:t>
      </w:r>
      <w:r>
        <w:rPr>
          <w:rFonts w:ascii="Calibri" w:hAnsi="Calibri"/>
          <w:b/>
          <w:color w:val="525866"/>
          <w:sz w:val="22"/>
        </w:rPr>
        <w:t>Walmart OnePay program ramp</w:t>
      </w:r>
      <w:r>
        <w:rPr>
          <w:rFonts w:ascii="Calibri" w:hAnsi="Calibri"/>
          <w:color w:val="525866"/>
          <w:sz w:val="22"/>
        </w:rPr>
        <w:t>: management called it "one of, if not the most successful program launch in company history," and any incremental color on receivables contribution and early loss performance will be closely watched by the Street.</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manageable bar on EPS and credit, with the net charge-off rate the bigger swing factor — April monthly data (5.5%) and CFO commentary at the June conference both suggest Q2 is tracking at or below the 5.46% consensus estimate, which would be a meaningful positive surprise relative to the prior-year 5.70%.</w:t>
      </w:r>
    </w:p>
    <w:p>
      <w:pPr>
        <w:pStyle w:val="Heading3"/>
      </w:pPr>
      <w:r>
        <w:rPr>
          <w:rFonts w:ascii="Calibri" w:hAnsi="Calibri"/>
          <w:b/>
          <w:color w:val="3B4259"/>
          <w:sz w:val="24"/>
        </w:rPr>
        <w:t>Table 1 — Q2 2026 Snapshot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Diluted Operating EPS ($)</w:t>
            </w:r>
          </w:p>
        </w:tc>
        <w:tc>
          <w:tcPr>
            <w:tcW w:type="dxa" w:w="1234"/>
          </w:tcPr>
          <w:p>
            <w:r>
              <w:rPr>
                <w:rFonts w:ascii="Calibri" w:hAnsi="Calibri"/>
                <w:sz w:val="22"/>
              </w:rPr>
              <w:t>$2.27</w:t>
            </w:r>
          </w:p>
        </w:tc>
        <w:tc>
          <w:tcPr>
            <w:tcW w:type="dxa" w:w="1234"/>
          </w:tcPr>
          <w:p>
            <w:r>
              <w:rPr>
                <w:rFonts w:ascii="Calibri" w:hAnsi="Calibri"/>
                <w:sz w:val="22"/>
              </w:rPr>
              <w:t>$2.47</w:t>
            </w:r>
          </w:p>
        </w:tc>
        <w:tc>
          <w:tcPr>
            <w:tcW w:type="dxa" w:w="1234"/>
          </w:tcPr>
          <w:p>
            <w:r>
              <w:rPr>
                <w:rFonts w:ascii="Calibri" w:hAnsi="Calibri"/>
                <w:sz w:val="22"/>
              </w:rPr>
              <w:t>$2.13</w:t>
            </w:r>
          </w:p>
        </w:tc>
        <w:tc>
          <w:tcPr>
            <w:tcW w:type="dxa" w:w="1234"/>
          </w:tcPr>
          <w:p>
            <w:r>
              <w:rPr>
                <w:rFonts w:ascii="Calibri" w:hAnsi="Calibri"/>
                <w:b/>
                <w:color w:val="E5484D"/>
                <w:sz w:val="22"/>
              </w:rPr>
              <w:t>-13.8%</w:t>
            </w:r>
          </w:p>
        </w:tc>
        <w:tc>
          <w:tcPr>
            <w:tcW w:type="dxa" w:w="1234"/>
          </w:tcPr>
          <w:p>
            <w:r>
              <w:rPr>
                <w:rFonts w:ascii="Calibri" w:hAnsi="Calibri"/>
                <w:sz w:val="22"/>
              </w:rPr>
              <w:t>FY26: $9.10–$9.50 ($9.30 mid)</w:t>
            </w:r>
          </w:p>
        </w:tc>
        <w:tc>
          <w:tcPr>
            <w:tcW w:type="dxa" w:w="1234"/>
          </w:tcPr>
          <w:p>
            <w:r>
              <w:rPr>
                <w:rFonts w:ascii="Calibri" w:hAnsi="Calibri"/>
                <w:sz w:val="22"/>
              </w:rPr>
              <w:t>~-2% vs. implied Q2 from FY mid</w:t>
            </w:r>
          </w:p>
        </w:tc>
      </w:tr>
      <w:tr>
        <w:tc>
          <w:tcPr>
            <w:tcW w:type="dxa" w:w="1234"/>
          </w:tcPr>
          <w:p>
            <w:r>
              <w:rPr>
                <w:rFonts w:ascii="Calibri" w:hAnsi="Calibri"/>
                <w:sz w:val="22"/>
              </w:rPr>
              <w:t>Net Charge-Off Rate (%)</w:t>
            </w:r>
          </w:p>
        </w:tc>
        <w:tc>
          <w:tcPr>
            <w:tcW w:type="dxa" w:w="1234"/>
          </w:tcPr>
          <w:p>
            <w:r>
              <w:rPr>
                <w:rFonts w:ascii="Calibri" w:hAnsi="Calibri"/>
                <w:sz w:val="22"/>
              </w:rPr>
              <w:t>5.42%</w:t>
            </w:r>
          </w:p>
        </w:tc>
        <w:tc>
          <w:tcPr>
            <w:tcW w:type="dxa" w:w="1234"/>
          </w:tcPr>
          <w:p>
            <w:r>
              <w:rPr>
                <w:rFonts w:ascii="Calibri" w:hAnsi="Calibri"/>
                <w:sz w:val="22"/>
              </w:rPr>
              <w:t>5.70%</w:t>
            </w:r>
          </w:p>
        </w:tc>
        <w:tc>
          <w:tcPr>
            <w:tcW w:type="dxa" w:w="1234"/>
          </w:tcPr>
          <w:p>
            <w:r>
              <w:rPr>
                <w:rFonts w:ascii="Calibri" w:hAnsi="Calibri"/>
                <w:sz w:val="22"/>
              </w:rPr>
              <w:t>5.47%</w:t>
            </w:r>
          </w:p>
        </w:tc>
        <w:tc>
          <w:tcPr>
            <w:tcW w:type="dxa" w:w="1234"/>
          </w:tcPr>
          <w:p>
            <w:r>
              <w:rPr>
                <w:rFonts w:ascii="Calibri" w:hAnsi="Calibri"/>
                <w:b/>
                <w:color w:val="30A46C"/>
                <w:sz w:val="22"/>
              </w:rPr>
              <w:t>-23 bps</w:t>
            </w:r>
          </w:p>
        </w:tc>
        <w:tc>
          <w:tcPr>
            <w:tcW w:type="dxa" w:w="1234"/>
          </w:tcPr>
          <w:p>
            <w:r>
              <w:rPr>
                <w:rFonts w:ascii="Calibri" w:hAnsi="Calibri"/>
                <w:sz w:val="22"/>
              </w:rPr>
              <w:t>FY26: below 5.5%</w:t>
            </w:r>
          </w:p>
        </w:tc>
        <w:tc>
          <w:tcPr>
            <w:tcW w:type="dxa" w:w="1234"/>
          </w:tcPr>
          <w:p>
            <w:r>
              <w:rPr>
                <w:rFonts w:ascii="Calibri" w:hAnsi="Calibri"/>
                <w:sz w:val="22"/>
              </w:rPr>
              <w:t>~-1 bp vs. guidance ceiling</w:t>
            </w:r>
          </w:p>
        </w:tc>
      </w:tr>
      <w:tr>
        <w:tc>
          <w:tcPr>
            <w:tcW w:type="dxa" w:w="1234"/>
          </w:tcPr>
          <w:p>
            <w:r>
              <w:rPr>
                <w:rFonts w:ascii="Calibri" w:hAnsi="Calibri"/>
                <w:sz w:val="22"/>
              </w:rPr>
              <w:t>Net Interest Margin (%, annualized)</w:t>
            </w:r>
          </w:p>
        </w:tc>
        <w:tc>
          <w:tcPr>
            <w:tcW w:type="dxa" w:w="1234"/>
          </w:tcPr>
          <w:p>
            <w:r>
              <w:rPr>
                <w:rFonts w:ascii="Calibri" w:hAnsi="Calibri"/>
                <w:sz w:val="22"/>
              </w:rPr>
              <w:t>15.50%</w:t>
            </w:r>
          </w:p>
        </w:tc>
        <w:tc>
          <w:tcPr>
            <w:tcW w:type="dxa" w:w="1234"/>
          </w:tcPr>
          <w:p>
            <w:r>
              <w:rPr>
                <w:rFonts w:ascii="Calibri" w:hAnsi="Calibri"/>
                <w:sz w:val="22"/>
              </w:rPr>
              <w:t>14.78%</w:t>
            </w:r>
          </w:p>
        </w:tc>
        <w:tc>
          <w:tcPr>
            <w:tcW w:type="dxa" w:w="1234"/>
          </w:tcPr>
          <w:p>
            <w:r>
              <w:rPr>
                <w:rFonts w:ascii="Calibri" w:hAnsi="Calibri"/>
                <w:sz w:val="22"/>
              </w:rPr>
              <w:t>15.21%</w:t>
            </w:r>
          </w:p>
        </w:tc>
        <w:tc>
          <w:tcPr>
            <w:tcW w:type="dxa" w:w="1234"/>
          </w:tcPr>
          <w:p>
            <w:r>
              <w:rPr>
                <w:rFonts w:ascii="Calibri" w:hAnsi="Calibri"/>
                <w:b/>
                <w:color w:val="30A46C"/>
                <w:sz w:val="22"/>
              </w:rPr>
              <w:t>+43 bps</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Total Loan Receivables ($B)</w:t>
            </w:r>
          </w:p>
        </w:tc>
        <w:tc>
          <w:tcPr>
            <w:tcW w:type="dxa" w:w="1234"/>
          </w:tcPr>
          <w:p>
            <w:r>
              <w:rPr>
                <w:rFonts w:ascii="Calibri" w:hAnsi="Calibri"/>
                <w:sz w:val="22"/>
              </w:rPr>
              <w:t>$100.1B</w:t>
            </w:r>
          </w:p>
        </w:tc>
        <w:tc>
          <w:tcPr>
            <w:tcW w:type="dxa" w:w="1234"/>
          </w:tcPr>
          <w:p>
            <w:r>
              <w:rPr>
                <w:rFonts w:ascii="Calibri" w:hAnsi="Calibri"/>
                <w:sz w:val="22"/>
              </w:rPr>
              <w:t>$99.8B</w:t>
            </w:r>
          </w:p>
        </w:tc>
        <w:tc>
          <w:tcPr>
            <w:tcW w:type="dxa" w:w="1234"/>
          </w:tcPr>
          <w:p>
            <w:r>
              <w:rPr>
                <w:rFonts w:ascii="Calibri" w:hAnsi="Calibri"/>
                <w:sz w:val="22"/>
              </w:rPr>
              <w:t>$102.1B</w:t>
            </w:r>
          </w:p>
        </w:tc>
        <w:tc>
          <w:tcPr>
            <w:tcW w:type="dxa" w:w="1234"/>
          </w:tcPr>
          <w:p>
            <w:r>
              <w:rPr>
                <w:rFonts w:ascii="Calibri" w:hAnsi="Calibri"/>
                <w:b/>
                <w:color w:val="30A46C"/>
                <w:sz w:val="22"/>
              </w:rPr>
              <w:t>+2.3%</w:t>
            </w:r>
          </w:p>
        </w:tc>
        <w:tc>
          <w:tcPr>
            <w:tcW w:type="dxa" w:w="1234"/>
          </w:tcPr>
          <w:p>
            <w:r>
              <w:rPr>
                <w:rFonts w:ascii="Calibri" w:hAnsi="Calibri"/>
                <w:sz w:val="22"/>
              </w:rPr>
              <w:t>Mid-single-digit growth FY26</w:t>
            </w:r>
          </w:p>
        </w:tc>
        <w:tc>
          <w:tcPr>
            <w:tcW w:type="dxa" w:w="1234"/>
          </w:tcPr>
          <w:p>
            <w:r>
              <w:rPr>
                <w:rFonts w:ascii="Calibri" w:hAnsi="Calibri"/>
                <w:sz w:val="22"/>
              </w:rPr>
              <w:t>Tracking toward low end of range</w:t>
            </w:r>
          </w:p>
        </w:tc>
      </w:tr>
      <w:tr>
        <w:tc>
          <w:tcPr>
            <w:tcW w:type="dxa" w:w="1234"/>
          </w:tcPr>
          <w:p>
            <w:r>
              <w:rPr>
                <w:rFonts w:ascii="Calibri" w:hAnsi="Calibri"/>
                <w:sz w:val="22"/>
              </w:rPr>
              <w:t>Purchase Volume — Total ($B)</w:t>
            </w:r>
          </w:p>
        </w:tc>
        <w:tc>
          <w:tcPr>
            <w:tcW w:type="dxa" w:w="1234"/>
          </w:tcPr>
          <w:p>
            <w:r>
              <w:rPr>
                <w:rFonts w:ascii="Calibri" w:hAnsi="Calibri"/>
                <w:sz w:val="22"/>
              </w:rPr>
              <w:t>$43.0B</w:t>
            </w:r>
          </w:p>
        </w:tc>
        <w:tc>
          <w:tcPr>
            <w:tcW w:type="dxa" w:w="1234"/>
          </w:tcPr>
          <w:p>
            <w:r>
              <w:rPr>
                <w:rFonts w:ascii="Calibri" w:hAnsi="Calibri"/>
                <w:sz w:val="22"/>
              </w:rPr>
              <w:t>$46.1B</w:t>
            </w:r>
          </w:p>
        </w:tc>
        <w:tc>
          <w:tcPr>
            <w:tcW w:type="dxa" w:w="1234"/>
          </w:tcPr>
          <w:p>
            <w:r>
              <w:rPr>
                <w:rFonts w:ascii="Calibri" w:hAnsi="Calibri"/>
                <w:sz w:val="22"/>
              </w:rPr>
              <w:t>$48.6B</w:t>
            </w:r>
          </w:p>
        </w:tc>
        <w:tc>
          <w:tcPr>
            <w:tcW w:type="dxa" w:w="1234"/>
          </w:tcPr>
          <w:p>
            <w:r>
              <w:rPr>
                <w:rFonts w:ascii="Calibri" w:hAnsi="Calibri"/>
                <w:b/>
                <w:color w:val="30A46C"/>
                <w:sz w:val="22"/>
              </w:rPr>
              <w:t>+5.4%</w:t>
            </w:r>
          </w:p>
        </w:tc>
        <w:tc>
          <w:tcPr>
            <w:tcW w:type="dxa" w:w="1234"/>
          </w:tcPr>
          <w:p>
            <w:r>
              <w:rPr>
                <w:rFonts w:ascii="Calibri" w:hAnsi="Calibri"/>
                <w:sz w:val="22"/>
              </w:rPr>
              <w:t>Mid-to-high single digits</w:t>
            </w:r>
          </w:p>
        </w:tc>
        <w:tc>
          <w:tcPr>
            <w:tcW w:type="dxa" w:w="1234"/>
          </w:tcPr>
          <w:p>
            <w:r>
              <w:rPr>
                <w:rFonts w:ascii="Calibri" w:hAnsi="Calibri"/>
                <w:sz w:val="22"/>
              </w:rPr>
              <w:t>In line with guidance</w:t>
            </w:r>
          </w:p>
        </w:tc>
      </w:tr>
      <w:tr>
        <w:tc>
          <w:tcPr>
            <w:tcW w:type="dxa" w:w="1234"/>
          </w:tcPr>
          <w:p>
            <w:r>
              <w:rPr>
                <w:rFonts w:ascii="Calibri" w:hAnsi="Calibri"/>
                <w:sz w:val="22"/>
              </w:rPr>
              <w:t>Revenue Net of Interest Expense ($B)</w:t>
            </w:r>
          </w:p>
        </w:tc>
        <w:tc>
          <w:tcPr>
            <w:tcW w:type="dxa" w:w="1234"/>
          </w:tcPr>
          <w:p>
            <w:r>
              <w:rPr>
                <w:rFonts w:ascii="Calibri" w:hAnsi="Calibri"/>
                <w:sz w:val="22"/>
              </w:rPr>
              <w:t>$3.70B</w:t>
            </w:r>
          </w:p>
        </w:tc>
        <w:tc>
          <w:tcPr>
            <w:tcW w:type="dxa" w:w="1234"/>
          </w:tcPr>
          <w:p>
            <w:r>
              <w:rPr>
                <w:rFonts w:ascii="Calibri" w:hAnsi="Calibri"/>
                <w:sz w:val="22"/>
              </w:rPr>
              <w:t>$3.65B</w:t>
            </w:r>
          </w:p>
        </w:tc>
        <w:tc>
          <w:tcPr>
            <w:tcW w:type="dxa" w:w="1234"/>
          </w:tcPr>
          <w:p>
            <w:r>
              <w:rPr>
                <w:rFonts w:ascii="Calibri" w:hAnsi="Calibri"/>
                <w:sz w:val="22"/>
              </w:rPr>
              <w:t>$3.74B</w:t>
            </w:r>
          </w:p>
        </w:tc>
        <w:tc>
          <w:tcPr>
            <w:tcW w:type="dxa" w:w="1234"/>
          </w:tcPr>
          <w:p>
            <w:r>
              <w:rPr>
                <w:rFonts w:ascii="Calibri" w:hAnsi="Calibri"/>
                <w:b/>
                <w:color w:val="30A46C"/>
                <w:sz w:val="22"/>
              </w:rPr>
              <w:t>+2.5%</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RSA / Avg. Loans (%)</w:t>
            </w:r>
          </w:p>
        </w:tc>
        <w:tc>
          <w:tcPr>
            <w:tcW w:type="dxa" w:w="1234"/>
          </w:tcPr>
          <w:p>
            <w:r>
              <w:rPr>
                <w:rFonts w:ascii="Calibri" w:hAnsi="Calibri"/>
                <w:sz w:val="22"/>
              </w:rPr>
              <w:t>4.25%</w:t>
            </w:r>
          </w:p>
        </w:tc>
        <w:tc>
          <w:tcPr>
            <w:tcW w:type="dxa" w:w="1234"/>
          </w:tcPr>
          <w:p>
            <w:r>
              <w:rPr>
                <w:rFonts w:ascii="Calibri" w:hAnsi="Calibri"/>
                <w:sz w:val="22"/>
              </w:rPr>
              <w:t>4.00%</w:t>
            </w:r>
          </w:p>
        </w:tc>
        <w:tc>
          <w:tcPr>
            <w:tcW w:type="dxa" w:w="1234"/>
          </w:tcPr>
          <w:p>
            <w:r>
              <w:rPr>
                <w:rFonts w:ascii="Calibri" w:hAnsi="Calibri"/>
                <w:sz w:val="22"/>
              </w:rPr>
              <w:t>4.22%</w:t>
            </w:r>
          </w:p>
        </w:tc>
        <w:tc>
          <w:tcPr>
            <w:tcW w:type="dxa" w:w="1234"/>
          </w:tcPr>
          <w:p>
            <w:r>
              <w:rPr>
                <w:rFonts w:ascii="Calibri" w:hAnsi="Calibri"/>
                <w:b/>
                <w:color w:val="E5484D"/>
                <w:sz w:val="22"/>
              </w:rPr>
              <w:t>+22 bps</w:t>
            </w:r>
          </w:p>
        </w:tc>
        <w:tc>
          <w:tcPr>
            <w:tcW w:type="dxa" w:w="1234"/>
          </w:tcPr>
          <w:p>
            <w:r>
              <w:rPr>
                <w:rFonts w:ascii="Calibri" w:hAnsi="Calibri"/>
                <w:sz w:val="22"/>
              </w:rPr>
              <w:t>No specific Q2 guidance</w:t>
            </w:r>
          </w:p>
        </w:tc>
        <w:tc>
          <w:tcPr>
            <w:tcW w:type="dxa" w:w="1234"/>
          </w:tcPr>
          <w:p>
            <w:r>
              <w:rPr>
                <w:rFonts w:ascii="Calibri" w:hAnsi="Calibri"/>
                <w:sz w:val="22"/>
              </w:rPr>
              <w:t>N/A</w:t>
            </w:r>
          </w:p>
        </w:tc>
      </w:tr>
    </w:tbl>
    <w:p>
      <w:r>
        <w:rPr>
          <w:rFonts w:ascii="Calibri" w:hAnsi="Calibri"/>
          <w:i/>
          <w:color w:val="525866"/>
          <w:sz w:val="22"/>
        </w:rPr>
        <w:t>Source: Visible Alpha Consensus and Actuals Data. Q2 2026 consensus as of July 20, 2026. Q1 2026 actuals and Q2 2025 actuals from Visible Alpha. FY 2026 guidance from Q1 2026 earnings call (April 21, 2026) and Morgan Stanley Financials Conference (June 9, 2026).</w:t>
      </w:r>
    </w:p>
    <w:p>
      <w:pPr>
        <w:pStyle w:val="Heading3"/>
      </w:pPr>
      <w:r>
        <w:rPr>
          <w:rFonts w:ascii="Calibri" w:hAnsi="Calibri"/>
          <w:b/>
          <w:color w:val="3B4259"/>
          <w:sz w:val="24"/>
        </w:rPr>
        <w:t>Table 2 — Beat/Miss History (Last 8 Quarters, Top 2 KPIs)</w:t>
      </w:r>
    </w:p>
    <w:p>
      <w:r>
        <w:rPr>
          <w:rFonts w:ascii="Calibri" w:hAnsi="Calibri"/>
          <w:b/>
          <w:color w:val="525866"/>
          <w:sz w:val="22"/>
        </w:rPr>
        <w:t>Top KPI #1: Diluted Operating EPS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$2.27</w:t>
            </w:r>
          </w:p>
        </w:tc>
        <w:tc>
          <w:tcPr>
            <w:tcW w:type="dxa" w:w="1728"/>
          </w:tcPr>
          <w:p>
            <w:r>
              <w:rPr>
                <w:rFonts w:ascii="Calibri" w:hAnsi="Calibri"/>
                <w:sz w:val="22"/>
              </w:rPr>
              <w:t>$2.21</w:t>
            </w:r>
          </w:p>
        </w:tc>
        <w:tc>
          <w:tcPr>
            <w:tcW w:type="dxa" w:w="1728"/>
          </w:tcPr>
          <w:p>
            <w:r>
              <w:rPr>
                <w:rFonts w:ascii="Calibri" w:hAnsi="Calibri"/>
                <w:sz w:val="22"/>
              </w:rPr>
              <w:t>+2.8%</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$2.18</w:t>
            </w:r>
          </w:p>
        </w:tc>
        <w:tc>
          <w:tcPr>
            <w:tcW w:type="dxa" w:w="1728"/>
          </w:tcPr>
          <w:p>
            <w:r>
              <w:rPr>
                <w:rFonts w:ascii="Calibri" w:hAnsi="Calibri"/>
                <w:sz w:val="22"/>
              </w:rPr>
              <w:t>$2.03</w:t>
            </w:r>
          </w:p>
        </w:tc>
        <w:tc>
          <w:tcPr>
            <w:tcW w:type="dxa" w:w="1728"/>
          </w:tcPr>
          <w:p>
            <w:r>
              <w:rPr>
                <w:rFonts w:ascii="Calibri" w:hAnsi="Calibri"/>
                <w:sz w:val="22"/>
              </w:rPr>
              <w:t>+7.5%</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$2.95</w:t>
            </w:r>
          </w:p>
        </w:tc>
        <w:tc>
          <w:tcPr>
            <w:tcW w:type="dxa" w:w="1728"/>
          </w:tcPr>
          <w:p>
            <w:r>
              <w:rPr>
                <w:rFonts w:ascii="Calibri" w:hAnsi="Calibri"/>
                <w:sz w:val="22"/>
              </w:rPr>
              <w:t>$2.19</w:t>
            </w:r>
          </w:p>
        </w:tc>
        <w:tc>
          <w:tcPr>
            <w:tcW w:type="dxa" w:w="1728"/>
          </w:tcPr>
          <w:p>
            <w:r>
              <w:rPr>
                <w:rFonts w:ascii="Calibri" w:hAnsi="Calibri"/>
                <w:sz w:val="22"/>
              </w:rPr>
              <w:t>+34.7%</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$2.47</w:t>
            </w:r>
          </w:p>
        </w:tc>
        <w:tc>
          <w:tcPr>
            <w:tcW w:type="dxa" w:w="1728"/>
          </w:tcPr>
          <w:p>
            <w:r>
              <w:rPr>
                <w:rFonts w:ascii="Calibri" w:hAnsi="Calibri"/>
                <w:sz w:val="22"/>
              </w:rPr>
              <w:t>$1.79</w:t>
            </w:r>
          </w:p>
        </w:tc>
        <w:tc>
          <w:tcPr>
            <w:tcW w:type="dxa" w:w="1728"/>
          </w:tcPr>
          <w:p>
            <w:r>
              <w:rPr>
                <w:rFonts w:ascii="Calibri" w:hAnsi="Calibri"/>
                <w:sz w:val="22"/>
              </w:rPr>
              <w:t>+38.0%</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$1.95</w:t>
            </w:r>
          </w:p>
        </w:tc>
        <w:tc>
          <w:tcPr>
            <w:tcW w:type="dxa" w:w="1728"/>
          </w:tcPr>
          <w:p>
            <w:r>
              <w:rPr>
                <w:rFonts w:ascii="Calibri" w:hAnsi="Calibri"/>
                <w:sz w:val="22"/>
              </w:rPr>
              <w:t>$1.60</w:t>
            </w:r>
          </w:p>
        </w:tc>
        <w:tc>
          <w:tcPr>
            <w:tcW w:type="dxa" w:w="1728"/>
          </w:tcPr>
          <w:p>
            <w:r>
              <w:rPr>
                <w:rFonts w:ascii="Calibri" w:hAnsi="Calibri"/>
                <w:sz w:val="22"/>
              </w:rPr>
              <w:t>+21.9%</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$1.92</w:t>
            </w:r>
          </w:p>
        </w:tc>
        <w:tc>
          <w:tcPr>
            <w:tcW w:type="dxa" w:w="1728"/>
          </w:tcPr>
          <w:p>
            <w:r>
              <w:rPr>
                <w:rFonts w:ascii="Calibri" w:hAnsi="Calibri"/>
                <w:sz w:val="22"/>
              </w:rPr>
              <w:t>$1.88</w:t>
            </w:r>
          </w:p>
        </w:tc>
        <w:tc>
          <w:tcPr>
            <w:tcW w:type="dxa" w:w="1728"/>
          </w:tcPr>
          <w:p>
            <w:r>
              <w:rPr>
                <w:rFonts w:ascii="Calibri" w:hAnsi="Calibri"/>
                <w:sz w:val="22"/>
              </w:rPr>
              <w:t>+2.2%</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$1.96</w:t>
            </w:r>
          </w:p>
        </w:tc>
        <w:tc>
          <w:tcPr>
            <w:tcW w:type="dxa" w:w="1728"/>
          </w:tcPr>
          <w:p>
            <w:r>
              <w:rPr>
                <w:rFonts w:ascii="Calibri" w:hAnsi="Calibri"/>
                <w:sz w:val="22"/>
              </w:rPr>
              <w:t>$1.85</w:t>
            </w:r>
          </w:p>
        </w:tc>
        <w:tc>
          <w:tcPr>
            <w:tcW w:type="dxa" w:w="1728"/>
          </w:tcPr>
          <w:p>
            <w:r>
              <w:rPr>
                <w:rFonts w:ascii="Calibri" w:hAnsi="Calibri"/>
                <w:sz w:val="22"/>
              </w:rPr>
              <w:t>+5.9%</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$1.48</w:t>
            </w:r>
          </w:p>
        </w:tc>
        <w:tc>
          <w:tcPr>
            <w:tcW w:type="dxa" w:w="1728"/>
          </w:tcPr>
          <w:p>
            <w:r>
              <w:rPr>
                <w:rFonts w:ascii="Calibri" w:hAnsi="Calibri"/>
                <w:sz w:val="22"/>
              </w:rPr>
              <w:t>$1.36</w:t>
            </w:r>
          </w:p>
        </w:tc>
        <w:tc>
          <w:tcPr>
            <w:tcW w:type="dxa" w:w="1728"/>
          </w:tcPr>
          <w:p>
            <w:r>
              <w:rPr>
                <w:rFonts w:ascii="Calibri" w:hAnsi="Calibri"/>
                <w:sz w:val="22"/>
              </w:rPr>
              <w:t>+8.9%</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SYF has beaten operating EPS consensus in each of the last 8 consecutive quarters, with the magnitude of beats widening significantly in Q2–Q3 2025 as credit normalization surprised to the upside; the bar has since been reset higher, making the Q2 2026 beat/miss a closer call.</w:t>
      </w:r>
    </w:p>
    <w:p>
      <w:r>
        <w:rPr>
          <w:rFonts w:ascii="Calibri" w:hAnsi="Calibri"/>
          <w:b/>
          <w:color w:val="525866"/>
          <w:sz w:val="22"/>
        </w:rPr>
        <w:t>Top KPI #2: Net Charge-Off Rate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5.42%</w:t>
            </w:r>
          </w:p>
        </w:tc>
        <w:tc>
          <w:tcPr>
            <w:tcW w:type="dxa" w:w="1728"/>
          </w:tcPr>
          <w:p>
            <w:r>
              <w:rPr>
                <w:rFonts w:ascii="Calibri" w:hAnsi="Calibri"/>
                <w:sz w:val="22"/>
              </w:rPr>
              <w:t>5.60%</w:t>
            </w:r>
          </w:p>
        </w:tc>
        <w:tc>
          <w:tcPr>
            <w:tcW w:type="dxa" w:w="1728"/>
          </w:tcPr>
          <w:p>
            <w:r>
              <w:rPr>
                <w:rFonts w:ascii="Calibri" w:hAnsi="Calibri"/>
                <w:sz w:val="22"/>
              </w:rPr>
              <w:t>-18 bps</w:t>
            </w:r>
          </w:p>
        </w:tc>
        <w:tc>
          <w:tcPr>
            <w:tcW w:type="dxa" w:w="1728"/>
          </w:tcPr>
          <w:p>
            <w:r>
              <w:rPr>
                <w:rFonts w:ascii="Calibri" w:hAnsi="Calibri"/>
                <w:b/>
                <w:color w:val="30A46C"/>
                <w:sz w:val="22"/>
              </w:rPr>
              <w:t>BEAT (lower = better)</w:t>
            </w:r>
          </w:p>
        </w:tc>
      </w:tr>
      <w:tr>
        <w:tc>
          <w:tcPr>
            <w:tcW w:type="dxa" w:w="1728"/>
          </w:tcPr>
          <w:p>
            <w:r>
              <w:rPr>
                <w:rFonts w:ascii="Calibri" w:hAnsi="Calibri"/>
                <w:sz w:val="22"/>
              </w:rPr>
              <w:t>Q4 2025</w:t>
            </w:r>
          </w:p>
        </w:tc>
        <w:tc>
          <w:tcPr>
            <w:tcW w:type="dxa" w:w="1728"/>
          </w:tcPr>
          <w:p>
            <w:r>
              <w:rPr>
                <w:rFonts w:ascii="Calibri" w:hAnsi="Calibri"/>
                <w:sz w:val="22"/>
              </w:rPr>
              <w:t>5.41%</w:t>
            </w:r>
          </w:p>
        </w:tc>
        <w:tc>
          <w:tcPr>
            <w:tcW w:type="dxa" w:w="1728"/>
          </w:tcPr>
          <w:p>
            <w:r>
              <w:rPr>
                <w:rFonts w:ascii="Calibri" w:hAnsi="Calibri"/>
                <w:sz w:val="22"/>
              </w:rPr>
              <w:t>5.42%</w:t>
            </w:r>
          </w:p>
        </w:tc>
        <w:tc>
          <w:tcPr>
            <w:tcW w:type="dxa" w:w="1728"/>
          </w:tcPr>
          <w:p>
            <w:r>
              <w:rPr>
                <w:rFonts w:ascii="Calibri" w:hAnsi="Calibri"/>
                <w:sz w:val="22"/>
              </w:rPr>
              <w:t>-1 bp</w:t>
            </w:r>
          </w:p>
        </w:tc>
        <w:tc>
          <w:tcPr>
            <w:tcW w:type="dxa" w:w="1728"/>
          </w:tcPr>
          <w:p>
            <w:r>
              <w:rPr>
                <w:rFonts w:ascii="Calibri" w:hAnsi="Calibri"/>
                <w:b/>
                <w:color w:val="30A46C"/>
                <w:sz w:val="22"/>
              </w:rPr>
              <w:t>IN LINE</w:t>
            </w:r>
          </w:p>
        </w:tc>
      </w:tr>
      <w:tr>
        <w:tc>
          <w:tcPr>
            <w:tcW w:type="dxa" w:w="1728"/>
          </w:tcPr>
          <w:p>
            <w:r>
              <w:rPr>
                <w:rFonts w:ascii="Calibri" w:hAnsi="Calibri"/>
                <w:sz w:val="22"/>
              </w:rPr>
              <w:t>Q3 2025</w:t>
            </w:r>
          </w:p>
        </w:tc>
        <w:tc>
          <w:tcPr>
            <w:tcW w:type="dxa" w:w="1728"/>
          </w:tcPr>
          <w:p>
            <w:r>
              <w:rPr>
                <w:rFonts w:ascii="Calibri" w:hAnsi="Calibri"/>
                <w:sz w:val="22"/>
              </w:rPr>
              <w:t>5.20%</w:t>
            </w:r>
          </w:p>
        </w:tc>
        <w:tc>
          <w:tcPr>
            <w:tcW w:type="dxa" w:w="1728"/>
          </w:tcPr>
          <w:p>
            <w:r>
              <w:rPr>
                <w:rFonts w:ascii="Calibri" w:hAnsi="Calibri"/>
                <w:sz w:val="22"/>
              </w:rPr>
              <w:t>5.34%</w:t>
            </w:r>
          </w:p>
        </w:tc>
        <w:tc>
          <w:tcPr>
            <w:tcW w:type="dxa" w:w="1728"/>
          </w:tcPr>
          <w:p>
            <w:r>
              <w:rPr>
                <w:rFonts w:ascii="Calibri" w:hAnsi="Calibri"/>
                <w:sz w:val="22"/>
              </w:rPr>
              <w:t>-14 bps</w:t>
            </w:r>
          </w:p>
        </w:tc>
        <w:tc>
          <w:tcPr>
            <w:tcW w:type="dxa" w:w="1728"/>
          </w:tcPr>
          <w:p>
            <w:r>
              <w:rPr>
                <w:rFonts w:ascii="Calibri" w:hAnsi="Calibri"/>
                <w:b/>
                <w:color w:val="30A46C"/>
                <w:sz w:val="22"/>
              </w:rPr>
              <w:t>BEAT (lower = better)</w:t>
            </w:r>
          </w:p>
        </w:tc>
      </w:tr>
      <w:tr>
        <w:tc>
          <w:tcPr>
            <w:tcW w:type="dxa" w:w="1728"/>
          </w:tcPr>
          <w:p>
            <w:r>
              <w:rPr>
                <w:rFonts w:ascii="Calibri" w:hAnsi="Calibri"/>
                <w:sz w:val="22"/>
              </w:rPr>
              <w:t>Q2 2025</w:t>
            </w:r>
          </w:p>
        </w:tc>
        <w:tc>
          <w:tcPr>
            <w:tcW w:type="dxa" w:w="1728"/>
          </w:tcPr>
          <w:p>
            <w:r>
              <w:rPr>
                <w:rFonts w:ascii="Calibri" w:hAnsi="Calibri"/>
                <w:sz w:val="22"/>
              </w:rPr>
              <w:t>5.70%</w:t>
            </w:r>
          </w:p>
        </w:tc>
        <w:tc>
          <w:tcPr>
            <w:tcW w:type="dxa" w:w="1728"/>
          </w:tcPr>
          <w:p>
            <w:r>
              <w:rPr>
                <w:rFonts w:ascii="Calibri" w:hAnsi="Calibri"/>
                <w:sz w:val="22"/>
              </w:rPr>
              <w:t>5.88%</w:t>
            </w:r>
          </w:p>
        </w:tc>
        <w:tc>
          <w:tcPr>
            <w:tcW w:type="dxa" w:w="1728"/>
          </w:tcPr>
          <w:p>
            <w:r>
              <w:rPr>
                <w:rFonts w:ascii="Calibri" w:hAnsi="Calibri"/>
                <w:sz w:val="22"/>
              </w:rPr>
              <w:t>-18 bps</w:t>
            </w:r>
          </w:p>
        </w:tc>
        <w:tc>
          <w:tcPr>
            <w:tcW w:type="dxa" w:w="1728"/>
          </w:tcPr>
          <w:p>
            <w:r>
              <w:rPr>
                <w:rFonts w:ascii="Calibri" w:hAnsi="Calibri"/>
                <w:b/>
                <w:color w:val="30A46C"/>
                <w:sz w:val="22"/>
              </w:rPr>
              <w:t>BEAT (lower = better)</w:t>
            </w:r>
          </w:p>
        </w:tc>
      </w:tr>
      <w:tr>
        <w:tc>
          <w:tcPr>
            <w:tcW w:type="dxa" w:w="1728"/>
          </w:tcPr>
          <w:p>
            <w:r>
              <w:rPr>
                <w:rFonts w:ascii="Calibri" w:hAnsi="Calibri"/>
                <w:sz w:val="22"/>
              </w:rPr>
              <w:t>Q1 2025</w:t>
            </w:r>
          </w:p>
        </w:tc>
        <w:tc>
          <w:tcPr>
            <w:tcW w:type="dxa" w:w="1728"/>
          </w:tcPr>
          <w:p>
            <w:r>
              <w:rPr>
                <w:rFonts w:ascii="Calibri" w:hAnsi="Calibri"/>
                <w:sz w:val="22"/>
              </w:rPr>
              <w:t>6.38%</w:t>
            </w:r>
          </w:p>
        </w:tc>
        <w:tc>
          <w:tcPr>
            <w:tcW w:type="dxa" w:w="1728"/>
          </w:tcPr>
          <w:p>
            <w:r>
              <w:rPr>
                <w:rFonts w:ascii="Calibri" w:hAnsi="Calibri"/>
                <w:sz w:val="22"/>
              </w:rPr>
              <w:t>6.61%</w:t>
            </w:r>
          </w:p>
        </w:tc>
        <w:tc>
          <w:tcPr>
            <w:tcW w:type="dxa" w:w="1728"/>
          </w:tcPr>
          <w:p>
            <w:r>
              <w:rPr>
                <w:rFonts w:ascii="Calibri" w:hAnsi="Calibri"/>
                <w:sz w:val="22"/>
              </w:rPr>
              <w:t>-23 bps</w:t>
            </w:r>
          </w:p>
        </w:tc>
        <w:tc>
          <w:tcPr>
            <w:tcW w:type="dxa" w:w="1728"/>
          </w:tcPr>
          <w:p>
            <w:r>
              <w:rPr>
                <w:rFonts w:ascii="Calibri" w:hAnsi="Calibri"/>
                <w:b/>
                <w:color w:val="30A46C"/>
                <w:sz w:val="22"/>
              </w:rPr>
              <w:t>BEAT (lower = better)</w:t>
            </w:r>
          </w:p>
        </w:tc>
      </w:tr>
      <w:tr>
        <w:tc>
          <w:tcPr>
            <w:tcW w:type="dxa" w:w="1728"/>
          </w:tcPr>
          <w:p>
            <w:r>
              <w:rPr>
                <w:rFonts w:ascii="Calibri" w:hAnsi="Calibri"/>
                <w:sz w:val="22"/>
              </w:rPr>
              <w:t>Q4 2024</w:t>
            </w:r>
          </w:p>
        </w:tc>
        <w:tc>
          <w:tcPr>
            <w:tcW w:type="dxa" w:w="1728"/>
          </w:tcPr>
          <w:p>
            <w:r>
              <w:rPr>
                <w:rFonts w:ascii="Calibri" w:hAnsi="Calibri"/>
                <w:sz w:val="22"/>
              </w:rPr>
              <w:t>6.48%</w:t>
            </w:r>
          </w:p>
        </w:tc>
        <w:tc>
          <w:tcPr>
            <w:tcW w:type="dxa" w:w="1728"/>
          </w:tcPr>
          <w:p>
            <w:r>
              <w:rPr>
                <w:rFonts w:ascii="Calibri" w:hAnsi="Calibri"/>
                <w:sz w:val="22"/>
              </w:rPr>
              <w:t>6.40%</w:t>
            </w:r>
          </w:p>
        </w:tc>
        <w:tc>
          <w:tcPr>
            <w:tcW w:type="dxa" w:w="1728"/>
          </w:tcPr>
          <w:p>
            <w:r>
              <w:rPr>
                <w:rFonts w:ascii="Calibri" w:hAnsi="Calibri"/>
                <w:sz w:val="22"/>
              </w:rPr>
              <w:t>+8 bps</w:t>
            </w:r>
          </w:p>
        </w:tc>
        <w:tc>
          <w:tcPr>
            <w:tcW w:type="dxa" w:w="1728"/>
          </w:tcPr>
          <w:p>
            <w:r>
              <w:rPr>
                <w:rFonts w:ascii="Calibri" w:hAnsi="Calibri"/>
                <w:b/>
                <w:color w:val="E5484D"/>
                <w:sz w:val="22"/>
              </w:rPr>
              <w:t>MISS (higher = worse)</w:t>
            </w:r>
          </w:p>
        </w:tc>
      </w:tr>
      <w:tr>
        <w:tc>
          <w:tcPr>
            <w:tcW w:type="dxa" w:w="1728"/>
          </w:tcPr>
          <w:p>
            <w:r>
              <w:rPr>
                <w:rFonts w:ascii="Calibri" w:hAnsi="Calibri"/>
                <w:sz w:val="22"/>
              </w:rPr>
              <w:t>Q3 2024</w:t>
            </w:r>
          </w:p>
        </w:tc>
        <w:tc>
          <w:tcPr>
            <w:tcW w:type="dxa" w:w="1728"/>
          </w:tcPr>
          <w:p>
            <w:r>
              <w:rPr>
                <w:rFonts w:ascii="Calibri" w:hAnsi="Calibri"/>
                <w:sz w:val="22"/>
              </w:rPr>
              <w:t>6.09%</w:t>
            </w:r>
          </w:p>
        </w:tc>
        <w:tc>
          <w:tcPr>
            <w:tcW w:type="dxa" w:w="1728"/>
          </w:tcPr>
          <w:p>
            <w:r>
              <w:rPr>
                <w:rFonts w:ascii="Calibri" w:hAnsi="Calibri"/>
                <w:sz w:val="22"/>
              </w:rPr>
              <w:t>6.01%</w:t>
            </w:r>
          </w:p>
        </w:tc>
        <w:tc>
          <w:tcPr>
            <w:tcW w:type="dxa" w:w="1728"/>
          </w:tcPr>
          <w:p>
            <w:r>
              <w:rPr>
                <w:rFonts w:ascii="Calibri" w:hAnsi="Calibri"/>
                <w:sz w:val="22"/>
              </w:rPr>
              <w:t>+8 bps</w:t>
            </w:r>
          </w:p>
        </w:tc>
        <w:tc>
          <w:tcPr>
            <w:tcW w:type="dxa" w:w="1728"/>
          </w:tcPr>
          <w:p>
            <w:r>
              <w:rPr>
                <w:rFonts w:ascii="Calibri" w:hAnsi="Calibri"/>
                <w:b/>
                <w:color w:val="E5484D"/>
                <w:sz w:val="22"/>
              </w:rPr>
              <w:t>MISS (higher = worse)</w:t>
            </w:r>
          </w:p>
        </w:tc>
      </w:tr>
      <w:tr>
        <w:tc>
          <w:tcPr>
            <w:tcW w:type="dxa" w:w="1728"/>
          </w:tcPr>
          <w:p>
            <w:r>
              <w:rPr>
                <w:rFonts w:ascii="Calibri" w:hAnsi="Calibri"/>
                <w:sz w:val="22"/>
              </w:rPr>
              <w:t>Q2 2024</w:t>
            </w:r>
          </w:p>
        </w:tc>
        <w:tc>
          <w:tcPr>
            <w:tcW w:type="dxa" w:w="1728"/>
          </w:tcPr>
          <w:p>
            <w:r>
              <w:rPr>
                <w:rFonts w:ascii="Calibri" w:hAnsi="Calibri"/>
                <w:sz w:val="22"/>
              </w:rPr>
              <w:t>6.39%</w:t>
            </w:r>
          </w:p>
        </w:tc>
        <w:tc>
          <w:tcPr>
            <w:tcW w:type="dxa" w:w="1728"/>
          </w:tcPr>
          <w:p>
            <w:r>
              <w:rPr>
                <w:rFonts w:ascii="Calibri" w:hAnsi="Calibri"/>
                <w:sz w:val="22"/>
              </w:rPr>
              <w:t>6.44%</w:t>
            </w:r>
          </w:p>
        </w:tc>
        <w:tc>
          <w:tcPr>
            <w:tcW w:type="dxa" w:w="1728"/>
          </w:tcPr>
          <w:p>
            <w:r>
              <w:rPr>
                <w:rFonts w:ascii="Calibri" w:hAnsi="Calibri"/>
                <w:sz w:val="22"/>
              </w:rPr>
              <w:t>-5 bps</w:t>
            </w:r>
          </w:p>
        </w:tc>
        <w:tc>
          <w:tcPr>
            <w:tcW w:type="dxa" w:w="1728"/>
          </w:tcPr>
          <w:p>
            <w:r>
              <w:rPr>
                <w:rFonts w:ascii="Calibri" w:hAnsi="Calibri"/>
                <w:b/>
                <w:color w:val="30A46C"/>
                <w:sz w:val="22"/>
              </w:rPr>
              <w:t>BEAT (lower = better)</w:t>
            </w:r>
          </w:p>
        </w:tc>
      </w:tr>
    </w:tbl>
    <w:p>
      <w:r>
        <w:rPr>
          <w:rFonts w:ascii="Calibri" w:hAnsi="Calibri"/>
          <w:b/>
          <w:color w:val="525866"/>
          <w:sz w:val="22"/>
        </w:rPr>
        <w:t xml:space="preserve">Pattern: </w:t>
      </w:r>
      <w:r>
        <w:rPr>
          <w:rFonts w:ascii="Calibri" w:hAnsi="Calibri"/>
          <w:color w:val="525866"/>
          <w:sz w:val="22"/>
        </w:rPr>
        <w:t>After two consecutive misses on NCO in Q3–Q4 2024 as credit deteriorated, SYF has beaten (or matched) NCO consensus in each of the last four quarters as credit normalization took hold; the April 2026 monthly NCO of 5.5% and CFO commentary at the June conference suggest Q2 is tracking at or below the 5.47% consensus, extending the positive streak.</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Management's tone has shifted meaningfully more constructive since Q1 earnings — CFO Wenzel's June 9 conference commentary confirmed Q2 credit is tracking "great," loan growth is beating seasonality, and the company is actively opening the credit aperture, all of which represent a more confident posture than the cautious-but-improving tone at Q1 results.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Topic</w:t>
            </w:r>
          </w:p>
        </w:tc>
        <w:tc>
          <w:tcPr>
            <w:tcW w:type="dxa" w:w="2160"/>
            <w:shd w:val="clear" w:color="auto" w:fill="3B4259"/>
          </w:tcPr>
          <w:p>
            <w:r>
              <w:rPr>
                <w:rFonts w:ascii="Calibri" w:hAnsi="Calibri"/>
                <w:b/>
                <w:color w:val="FFFFFF"/>
                <w:sz w:val="22"/>
              </w:rPr>
              <w:t>Q1 2026 Earnings Call Baseline (Apr 21)</w:t>
            </w:r>
          </w:p>
        </w:tc>
        <w:tc>
          <w:tcPr>
            <w:tcW w:type="dxa" w:w="2160"/>
            <w:shd w:val="clear" w:color="auto" w:fill="3B4259"/>
          </w:tcPr>
          <w:p>
            <w:r>
              <w:rPr>
                <w:rFonts w:ascii="Calibri" w:hAnsi="Calibri"/>
                <w:b/>
                <w:color w:val="FFFFFF"/>
                <w:sz w:val="22"/>
              </w:rPr>
              <w:t>Revised / Updated (Post-Q1)</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Net Charge-Off Rate</w:t>
            </w:r>
          </w:p>
        </w:tc>
        <w:tc>
          <w:tcPr>
            <w:tcW w:type="dxa" w:w="2160"/>
          </w:tcPr>
          <w:p>
            <w:r>
              <w:rPr>
                <w:rFonts w:ascii="Calibri" w:hAnsi="Calibri"/>
                <w:sz w:val="22"/>
              </w:rPr>
              <w:t>FY26 guidance tightened to below 5.5% (vs. prior ~5.5–6.0%); Q1 actual 5.42%</w:t>
            </w:r>
          </w:p>
        </w:tc>
        <w:tc>
          <w:tcPr>
            <w:tcW w:type="dxa" w:w="2160"/>
          </w:tcPr>
          <w:p>
            <w:r>
              <w:rPr>
                <w:rFonts w:ascii="Calibri" w:hAnsi="Calibri"/>
                <w:sz w:val="22"/>
              </w:rPr>
              <w:t>June 9 (MS Conference): CFO confirmed NCO "at or below" the 5.5–6.0% historic target range; losses "came in great"; April monthly NCO 5.5%</w:t>
            </w:r>
          </w:p>
        </w:tc>
        <w:tc>
          <w:tcPr>
            <w:tcW w:type="dxa" w:w="2160"/>
          </w:tcPr>
          <w:p>
            <w:r>
              <w:rPr>
                <w:rFonts w:ascii="Calibri" w:hAnsi="Calibri"/>
                <w:b/>
                <w:color w:val="30A46C"/>
                <w:sz w:val="22"/>
              </w:rPr>
              <w:t>More constructive</w:t>
            </w:r>
          </w:p>
        </w:tc>
      </w:tr>
      <w:tr>
        <w:tc>
          <w:tcPr>
            <w:tcW w:type="dxa" w:w="2160"/>
          </w:tcPr>
          <w:p>
            <w:r>
              <w:rPr>
                <w:rFonts w:ascii="Calibri" w:hAnsi="Calibri"/>
                <w:sz w:val="22"/>
              </w:rPr>
              <w:t>Loan Receivables Growth</w:t>
            </w:r>
          </w:p>
        </w:tc>
        <w:tc>
          <w:tcPr>
            <w:tcW w:type="dxa" w:w="2160"/>
          </w:tcPr>
          <w:p>
            <w:r>
              <w:rPr>
                <w:rFonts w:ascii="Calibri" w:hAnsi="Calibri"/>
                <w:sz w:val="22"/>
              </w:rPr>
              <w:t>First sequential increase in EOP receivables after period of pressure; mid-single-digit FY26 growth target maintained</w:t>
            </w:r>
          </w:p>
        </w:tc>
        <w:tc>
          <w:tcPr>
            <w:tcW w:type="dxa" w:w="2160"/>
          </w:tcPr>
          <w:p>
            <w:r>
              <w:rPr>
                <w:rFonts w:ascii="Calibri" w:hAnsi="Calibri"/>
                <w:sz w:val="22"/>
              </w:rPr>
              <w:t>June 9: EOP asset growth +1.8% (including Lowe's commercial added in April); "beat seasonality in May"; growth at 42 bps at Q1 end, expanded to 1.8% with Lowe's</w:t>
            </w:r>
          </w:p>
        </w:tc>
        <w:tc>
          <w:tcPr>
            <w:tcW w:type="dxa" w:w="2160"/>
          </w:tcPr>
          <w:p>
            <w:r>
              <w:rPr>
                <w:rFonts w:ascii="Calibri" w:hAnsi="Calibri"/>
                <w:b/>
                <w:color w:val="30A46C"/>
                <w:sz w:val="22"/>
              </w:rPr>
              <w:t>More constructive</w:t>
            </w:r>
          </w:p>
        </w:tc>
      </w:tr>
      <w:tr>
        <w:tc>
          <w:tcPr>
            <w:tcW w:type="dxa" w:w="2160"/>
          </w:tcPr>
          <w:p>
            <w:r>
              <w:rPr>
                <w:rFonts w:ascii="Calibri" w:hAnsi="Calibri"/>
                <w:sz w:val="22"/>
              </w:rPr>
              <w:t>Delinquency / Credit Quality</w:t>
            </w:r>
          </w:p>
        </w:tc>
        <w:tc>
          <w:tcPr>
            <w:tcW w:type="dxa" w:w="2160"/>
          </w:tcPr>
          <w:p>
            <w:r>
              <w:rPr>
                <w:rFonts w:ascii="Calibri" w:hAnsi="Calibri"/>
                <w:sz w:val="22"/>
              </w:rPr>
              <w:t>30+ delinquency rate improving; April 8-K showed 4.3% (down from 4.5% in March, 4.7% in February)</w:t>
            </w:r>
          </w:p>
        </w:tc>
        <w:tc>
          <w:tcPr>
            <w:tcW w:type="dxa" w:w="2160"/>
          </w:tcPr>
          <w:p>
            <w:r>
              <w:rPr>
                <w:rFonts w:ascii="Calibri" w:hAnsi="Calibri"/>
                <w:sz w:val="22"/>
              </w:rPr>
              <w:t>June 9: 30+ delinquencies at 4.2%, "very consistent" over last 12 months, "better than seasonality"</w:t>
            </w:r>
          </w:p>
        </w:tc>
        <w:tc>
          <w:tcPr>
            <w:tcW w:type="dxa" w:w="2160"/>
          </w:tcPr>
          <w:p>
            <w:r>
              <w:rPr>
                <w:rFonts w:ascii="Calibri" w:hAnsi="Calibri"/>
                <w:b/>
                <w:color w:val="30A46C"/>
                <w:sz w:val="22"/>
              </w:rPr>
              <w:t>More constructive</w:t>
            </w:r>
          </w:p>
        </w:tc>
      </w:tr>
      <w:tr>
        <w:tc>
          <w:tcPr>
            <w:tcW w:type="dxa" w:w="2160"/>
          </w:tcPr>
          <w:p>
            <w:r>
              <w:rPr>
                <w:rFonts w:ascii="Calibri" w:hAnsi="Calibri"/>
                <w:sz w:val="22"/>
              </w:rPr>
              <w:t>Credit Aperture / Underwriting</w:t>
            </w:r>
          </w:p>
        </w:tc>
        <w:tc>
          <w:tcPr>
            <w:tcW w:type="dxa" w:w="2160"/>
          </w:tcPr>
          <w:p>
            <w:r>
              <w:rPr>
                <w:rFonts w:ascii="Calibri" w:hAnsi="Calibri"/>
                <w:sz w:val="22"/>
              </w:rPr>
              <w:t>Selectively opening credit aperture; pleased with trajectory of credit metrics</w:t>
            </w:r>
          </w:p>
        </w:tc>
        <w:tc>
          <w:tcPr>
            <w:tcW w:type="dxa" w:w="2160"/>
          </w:tcPr>
          <w:p>
            <w:r>
              <w:rPr>
                <w:rFonts w:ascii="Calibri" w:hAnsi="Calibri"/>
                <w:sz w:val="22"/>
              </w:rPr>
              <w:t>June 9: Actively opening aperture; expects "nominal increase" in losses as aperture opens; new programs (Walmart) will begin showing losses in Q4 2026 into 2027</w:t>
            </w:r>
          </w:p>
        </w:tc>
        <w:tc>
          <w:tcPr>
            <w:tcW w:type="dxa" w:w="2160"/>
          </w:tcPr>
          <w:p>
            <w:r>
              <w:rPr>
                <w:rFonts w:ascii="Calibri" w:hAnsi="Calibri"/>
                <w:b/>
                <w:color w:val="002FA7"/>
                <w:sz w:val="22"/>
              </w:rPr>
              <w:t>Unchanged / expected</w:t>
            </w:r>
          </w:p>
        </w:tc>
      </w:tr>
      <w:tr>
        <w:tc>
          <w:tcPr>
            <w:tcW w:type="dxa" w:w="2160"/>
          </w:tcPr>
          <w:p>
            <w:r>
              <w:rPr>
                <w:rFonts w:ascii="Calibri" w:hAnsi="Calibri"/>
                <w:sz w:val="22"/>
              </w:rPr>
              <w:t>FY 2026 EPS Guidance</w:t>
            </w:r>
          </w:p>
        </w:tc>
        <w:tc>
          <w:tcPr>
            <w:tcW w:type="dxa" w:w="2160"/>
          </w:tcPr>
          <w:p>
            <w:r>
              <w:rPr>
                <w:rFonts w:ascii="Calibri" w:hAnsi="Calibri"/>
                <w:sz w:val="22"/>
              </w:rPr>
              <w:t>$9.10–$9.50 (maintained); $6.5B buyback authorized with no expiration; dividend increase beginning Q3 2026</w:t>
            </w:r>
          </w:p>
        </w:tc>
        <w:tc>
          <w:tcPr>
            <w:tcW w:type="dxa" w:w="2160"/>
          </w:tcPr>
          <w:p>
            <w:r>
              <w:rPr>
                <w:rFonts w:ascii="Calibri" w:hAnsi="Calibri"/>
                <w:sz w:val="22"/>
              </w:rPr>
              <w:t>No change to FY guidance; consensus at $9.29 (within range); Series C Preferred Stock issued June 2026 (7.250% coupon)</w:t>
            </w:r>
          </w:p>
        </w:tc>
        <w:tc>
          <w:tcPr>
            <w:tcW w:type="dxa" w:w="2160"/>
          </w:tcPr>
          <w:p>
            <w:r>
              <w:rPr>
                <w:rFonts w:ascii="Calibri" w:hAnsi="Calibri"/>
                <w:b/>
                <w:color w:val="002FA7"/>
                <w:sz w:val="22"/>
              </w:rPr>
              <w:t>Unchanged</w:t>
            </w:r>
          </w:p>
        </w:tc>
      </w:tr>
      <w:tr>
        <w:tc>
          <w:tcPr>
            <w:tcW w:type="dxa" w:w="2160"/>
          </w:tcPr>
          <w:p>
            <w:r>
              <w:rPr>
                <w:rFonts w:ascii="Calibri" w:hAnsi="Calibri"/>
                <w:sz w:val="22"/>
              </w:rPr>
              <w:t>Walmart OnePay</w:t>
            </w:r>
          </w:p>
        </w:tc>
        <w:tc>
          <w:tcPr>
            <w:tcW w:type="dxa" w:w="2160"/>
          </w:tcPr>
          <w:p>
            <w:r>
              <w:rPr>
                <w:rFonts w:ascii="Calibri" w:hAnsi="Calibri"/>
                <w:sz w:val="22"/>
              </w:rPr>
              <w:t>"One of, if not the most successful program launch in company history"; strong conviction on ramp</w:t>
            </w:r>
          </w:p>
        </w:tc>
        <w:tc>
          <w:tcPr>
            <w:tcW w:type="dxa" w:w="2160"/>
          </w:tcPr>
          <w:p>
            <w:r>
              <w:rPr>
                <w:rFonts w:ascii="Calibri" w:hAnsi="Calibri"/>
                <w:sz w:val="22"/>
              </w:rPr>
              <w:t>June 9: Losses from Walmart program will begin to come through "latter part of this year, Q4 into 2027"; still early in loss seasoning</w:t>
            </w:r>
          </w:p>
        </w:tc>
        <w:tc>
          <w:tcPr>
            <w:tcW w:type="dxa" w:w="2160"/>
          </w:tcPr>
          <w:p>
            <w:r>
              <w:rPr>
                <w:rFonts w:ascii="Calibri" w:hAnsi="Calibri"/>
                <w:b/>
                <w:color w:val="002FA7"/>
                <w:sz w:val="22"/>
              </w:rPr>
              <w:t>Unchanged / expected</w:t>
            </w:r>
          </w:p>
        </w:tc>
      </w:tr>
      <w:tr>
        <w:tc>
          <w:tcPr>
            <w:tcW w:type="dxa" w:w="2160"/>
          </w:tcPr>
          <w:p>
            <w:r>
              <w:rPr>
                <w:rFonts w:ascii="Calibri" w:hAnsi="Calibri"/>
                <w:sz w:val="22"/>
              </w:rPr>
              <w:t>NIM / Funding Costs</w:t>
            </w:r>
          </w:p>
        </w:tc>
        <w:tc>
          <w:tcPr>
            <w:tcW w:type="dxa" w:w="2160"/>
          </w:tcPr>
          <w:p>
            <w:r>
              <w:rPr>
                <w:rFonts w:ascii="Calibri" w:hAnsi="Calibri"/>
                <w:sz w:val="22"/>
              </w:rPr>
              <w:t>NIM at 15.50% in Q1; benefiting from PPPCs and lower funding costs; expansion trajectory intact</w:t>
            </w:r>
          </w:p>
        </w:tc>
        <w:tc>
          <w:tcPr>
            <w:tcW w:type="dxa" w:w="2160"/>
          </w:tcPr>
          <w:p>
            <w:r>
              <w:rPr>
                <w:rFonts w:ascii="Calibri" w:hAnsi="Calibri"/>
                <w:sz w:val="22"/>
              </w:rPr>
              <w:t>June 9: NIM expected to be "relatively stable" in Q2; RSA dynamics and mix shift (more super-prime) create modest headwind; consensus at 15.21% for Q2</w:t>
            </w:r>
          </w:p>
        </w:tc>
        <w:tc>
          <w:tcPr>
            <w:tcW w:type="dxa" w:w="2160"/>
          </w:tcPr>
          <w:p>
            <w:r>
              <w:rPr>
                <w:rFonts w:ascii="Calibri" w:hAnsi="Calibri"/>
                <w:b/>
                <w:color w:val="E5484D"/>
                <w:sz w:val="22"/>
              </w:rPr>
              <w:t>Slight moderation expected</w:t>
            </w:r>
          </w:p>
        </w:tc>
      </w:tr>
      <w:tr>
        <w:tc>
          <w:tcPr>
            <w:tcW w:type="dxa" w:w="2160"/>
          </w:tcPr>
          <w:p>
            <w:r>
              <w:rPr>
                <w:rFonts w:ascii="Calibri" w:hAnsi="Calibri"/>
                <w:sz w:val="22"/>
              </w:rPr>
              <w:t>Leadership / Org Structure</w:t>
            </w:r>
          </w:p>
        </w:tc>
        <w:tc>
          <w:tcPr>
            <w:tcW w:type="dxa" w:w="2160"/>
          </w:tcPr>
          <w:p>
            <w:r>
              <w:rPr>
                <w:rFonts w:ascii="Calibri" w:hAnsi="Calibri"/>
                <w:sz w:val="22"/>
              </w:rPr>
              <w:t>No changes flagged at Q1 earnings</w:t>
            </w:r>
          </w:p>
        </w:tc>
        <w:tc>
          <w:tcPr>
            <w:tcW w:type="dxa" w:w="2160"/>
          </w:tcPr>
          <w:p>
            <w:r>
              <w:rPr>
                <w:rFonts w:ascii="Calibri" w:hAnsi="Calibri"/>
                <w:sz w:val="22"/>
              </w:rPr>
              <w:t>June 29: Carol Juel named Digital CEO; Florin Arghirescu promoted to CTO; DJ Casto expanded to Chief People &amp; Operations Officer — focused on AI, agentic commerce, digital growth</w:t>
            </w:r>
          </w:p>
        </w:tc>
        <w:tc>
          <w:tcPr>
            <w:tcW w:type="dxa" w:w="2160"/>
          </w:tcPr>
          <w:p>
            <w:r>
              <w:rPr>
                <w:rFonts w:ascii="Calibri" w:hAnsi="Calibri"/>
                <w:b/>
                <w:color w:val="002FA7"/>
                <w:sz w:val="22"/>
              </w:rPr>
              <w:t>New development</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moved modestly higher since Q1 earnings, with Q2 2026 operating EPS consensus rising from ~$2.08 (April 28 snapshot) to $2.13 currently — a ~2.4% upward revision — suggesting the Street has incrementally gained confidence in the credit trajectory without fully pricing in an upside scenario.</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KPI</w:t>
            </w:r>
          </w:p>
        </w:tc>
        <w:tc>
          <w:tcPr>
            <w:tcW w:type="dxa" w:w="1728"/>
            <w:shd w:val="clear" w:color="auto" w:fill="3B4259"/>
          </w:tcPr>
          <w:p>
            <w:r>
              <w:rPr>
                <w:rFonts w:ascii="Calibri" w:hAnsi="Calibri"/>
                <w:b/>
                <w:color w:val="FFFFFF"/>
                <w:sz w:val="22"/>
              </w:rPr>
              <w:t>Consensus at Apr 28 (Post-Q1 Snapshot)</w:t>
            </w:r>
          </w:p>
        </w:tc>
        <w:tc>
          <w:tcPr>
            <w:tcW w:type="dxa" w:w="1728"/>
            <w:shd w:val="clear" w:color="auto" w:fill="3B4259"/>
          </w:tcPr>
          <w:p>
            <w:r>
              <w:rPr>
                <w:rFonts w:ascii="Calibri" w:hAnsi="Calibri"/>
                <w:b/>
                <w:color w:val="FFFFFF"/>
                <w:sz w:val="22"/>
              </w:rPr>
              <w:t>Current Consensus (Jul 20)</w:t>
            </w:r>
          </w:p>
        </w:tc>
        <w:tc>
          <w:tcPr>
            <w:tcW w:type="dxa" w:w="1728"/>
            <w:shd w:val="clear" w:color="auto" w:fill="3B4259"/>
          </w:tcPr>
          <w:p>
            <w:r>
              <w:rPr>
                <w:rFonts w:ascii="Calibri" w:hAnsi="Calibri"/>
                <w:b/>
                <w:color w:val="FFFFFF"/>
                <w:sz w:val="22"/>
              </w:rPr>
              <w:t>Change</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Diluted Operating EPS ($) — Q2 2026</w:t>
            </w:r>
          </w:p>
        </w:tc>
        <w:tc>
          <w:tcPr>
            <w:tcW w:type="dxa" w:w="1728"/>
          </w:tcPr>
          <w:p>
            <w:r>
              <w:rPr>
                <w:rFonts w:ascii="Calibri" w:hAnsi="Calibri"/>
                <w:sz w:val="22"/>
              </w:rPr>
              <w:t>$2.08</w:t>
            </w:r>
          </w:p>
        </w:tc>
        <w:tc>
          <w:tcPr>
            <w:tcW w:type="dxa" w:w="1728"/>
          </w:tcPr>
          <w:p>
            <w:r>
              <w:rPr>
                <w:rFonts w:ascii="Calibri" w:hAnsi="Calibri"/>
                <w:sz w:val="22"/>
              </w:rPr>
              <w:t>$2.13</w:t>
            </w:r>
          </w:p>
        </w:tc>
        <w:tc>
          <w:tcPr>
            <w:tcW w:type="dxa" w:w="1728"/>
          </w:tcPr>
          <w:p>
            <w:r>
              <w:rPr>
                <w:rFonts w:ascii="Calibri" w:hAnsi="Calibri"/>
                <w:sz w:val="22"/>
              </w:rPr>
              <w:t>+$0.05 (+2.4%)</w:t>
            </w:r>
          </w:p>
        </w:tc>
        <w:tc>
          <w:tcPr>
            <w:tcW w:type="dxa" w:w="1728"/>
          </w:tcPr>
          <w:p>
            <w:r>
              <w:rPr>
                <w:rFonts w:ascii="Calibri" w:hAnsi="Calibri"/>
                <w:b/>
                <w:color w:val="30A46C"/>
                <w:sz w:val="22"/>
              </w:rPr>
              <w:t>↑ Revised Up</w:t>
            </w:r>
          </w:p>
        </w:tc>
      </w:tr>
      <w:tr>
        <w:tc>
          <w:tcPr>
            <w:tcW w:type="dxa" w:w="1728"/>
          </w:tcPr>
          <w:p>
            <w:r>
              <w:rPr>
                <w:rFonts w:ascii="Calibri" w:hAnsi="Calibri"/>
                <w:sz w:val="22"/>
              </w:rPr>
              <w:t>Net Charge-Off Rate (%) — Q2 2026</w:t>
            </w:r>
          </w:p>
        </w:tc>
        <w:tc>
          <w:tcPr>
            <w:tcW w:type="dxa" w:w="1728"/>
          </w:tcPr>
          <w:p>
            <w:r>
              <w:rPr>
                <w:rFonts w:ascii="Calibri" w:hAnsi="Calibri"/>
                <w:sz w:val="22"/>
              </w:rPr>
              <w:t>5.55%</w:t>
            </w:r>
          </w:p>
        </w:tc>
        <w:tc>
          <w:tcPr>
            <w:tcW w:type="dxa" w:w="1728"/>
          </w:tcPr>
          <w:p>
            <w:r>
              <w:rPr>
                <w:rFonts w:ascii="Calibri" w:hAnsi="Calibri"/>
                <w:sz w:val="22"/>
              </w:rPr>
              <w:t>5.47%</w:t>
            </w:r>
          </w:p>
        </w:tc>
        <w:tc>
          <w:tcPr>
            <w:tcW w:type="dxa" w:w="1728"/>
          </w:tcPr>
          <w:p>
            <w:r>
              <w:rPr>
                <w:rFonts w:ascii="Calibri" w:hAnsi="Calibri"/>
                <w:sz w:val="22"/>
              </w:rPr>
              <w:t>-8 bps</w:t>
            </w:r>
          </w:p>
        </w:tc>
        <w:tc>
          <w:tcPr>
            <w:tcW w:type="dxa" w:w="1728"/>
          </w:tcPr>
          <w:p>
            <w:r>
              <w:rPr>
                <w:rFonts w:ascii="Calibri" w:hAnsi="Calibri"/>
                <w:b/>
                <w:color w:val="30A46C"/>
                <w:sz w:val="22"/>
              </w:rPr>
              <w:t>↓ Revised Down (better)</w:t>
            </w:r>
          </w:p>
        </w:tc>
      </w:tr>
      <w:tr>
        <w:tc>
          <w:tcPr>
            <w:tcW w:type="dxa" w:w="1728"/>
          </w:tcPr>
          <w:p>
            <w:r>
              <w:rPr>
                <w:rFonts w:ascii="Calibri" w:hAnsi="Calibri"/>
                <w:sz w:val="22"/>
              </w:rPr>
              <w:t>Total Loan Receivables ($B) — Q2 2026</w:t>
            </w:r>
          </w:p>
        </w:tc>
        <w:tc>
          <w:tcPr>
            <w:tcW w:type="dxa" w:w="1728"/>
          </w:tcPr>
          <w:p>
            <w:r>
              <w:rPr>
                <w:rFonts w:ascii="Calibri" w:hAnsi="Calibri"/>
                <w:sz w:val="22"/>
              </w:rPr>
              <w:t>$102.2B</w:t>
            </w:r>
          </w:p>
        </w:tc>
        <w:tc>
          <w:tcPr>
            <w:tcW w:type="dxa" w:w="1728"/>
          </w:tcPr>
          <w:p>
            <w:r>
              <w:rPr>
                <w:rFonts w:ascii="Calibri" w:hAnsi="Calibri"/>
                <w:sz w:val="22"/>
              </w:rPr>
              <w:t>$102.1B</w:t>
            </w:r>
          </w:p>
        </w:tc>
        <w:tc>
          <w:tcPr>
            <w:tcW w:type="dxa" w:w="1728"/>
          </w:tcPr>
          <w:p>
            <w:r>
              <w:rPr>
                <w:rFonts w:ascii="Calibri" w:hAnsi="Calibri"/>
                <w:sz w:val="22"/>
              </w:rPr>
              <w:t>-$0.1B (-0.1%)</w:t>
            </w:r>
          </w:p>
        </w:tc>
        <w:tc>
          <w:tcPr>
            <w:tcW w:type="dxa" w:w="1728"/>
          </w:tcPr>
          <w:p>
            <w:r>
              <w:rPr>
                <w:rFonts w:ascii="Calibri" w:hAnsi="Calibri"/>
                <w:b/>
                <w:color w:val="002FA7"/>
                <w:sz w:val="22"/>
              </w:rPr>
              <w:t>→ Essentially Unchanged</w:t>
            </w:r>
          </w:p>
        </w:tc>
      </w:tr>
      <w:tr>
        <w:tc>
          <w:tcPr>
            <w:tcW w:type="dxa" w:w="1728"/>
          </w:tcPr>
          <w:p>
            <w:r>
              <w:rPr>
                <w:rFonts w:ascii="Calibri" w:hAnsi="Calibri"/>
                <w:sz w:val="22"/>
              </w:rPr>
              <w:t>NIM (%, annualized) — Q2 2026</w:t>
            </w:r>
          </w:p>
        </w:tc>
        <w:tc>
          <w:tcPr>
            <w:tcW w:type="dxa" w:w="1728"/>
          </w:tcPr>
          <w:p>
            <w:r>
              <w:rPr>
                <w:rFonts w:ascii="Calibri" w:hAnsi="Calibri"/>
                <w:sz w:val="22"/>
              </w:rPr>
              <w:t>15.29%</w:t>
            </w:r>
          </w:p>
        </w:tc>
        <w:tc>
          <w:tcPr>
            <w:tcW w:type="dxa" w:w="1728"/>
          </w:tcPr>
          <w:p>
            <w:r>
              <w:rPr>
                <w:rFonts w:ascii="Calibri" w:hAnsi="Calibri"/>
                <w:sz w:val="22"/>
              </w:rPr>
              <w:t>15.21%</w:t>
            </w:r>
          </w:p>
        </w:tc>
        <w:tc>
          <w:tcPr>
            <w:tcW w:type="dxa" w:w="1728"/>
          </w:tcPr>
          <w:p>
            <w:r>
              <w:rPr>
                <w:rFonts w:ascii="Calibri" w:hAnsi="Calibri"/>
                <w:sz w:val="22"/>
              </w:rPr>
              <w:t>-8 bps</w:t>
            </w:r>
          </w:p>
        </w:tc>
        <w:tc>
          <w:tcPr>
            <w:tcW w:type="dxa" w:w="1728"/>
          </w:tcPr>
          <w:p>
            <w:r>
              <w:rPr>
                <w:rFonts w:ascii="Calibri" w:hAnsi="Calibri"/>
                <w:b/>
                <w:color w:val="E5484D"/>
                <w:sz w:val="22"/>
              </w:rPr>
              <w:t>↓ Revised Down (slight moderation)</w:t>
            </w:r>
          </w:p>
        </w:tc>
      </w:tr>
      <w:tr>
        <w:tc>
          <w:tcPr>
            <w:tcW w:type="dxa" w:w="1728"/>
          </w:tcPr>
          <w:p>
            <w:r>
              <w:rPr>
                <w:rFonts w:ascii="Calibri" w:hAnsi="Calibri"/>
                <w:sz w:val="22"/>
              </w:rPr>
              <w:t>Purchase Volume — Total ($B) — Q2 2026</w:t>
            </w:r>
          </w:p>
        </w:tc>
        <w:tc>
          <w:tcPr>
            <w:tcW w:type="dxa" w:w="1728"/>
          </w:tcPr>
          <w:p>
            <w:r>
              <w:rPr>
                <w:rFonts w:ascii="Calibri" w:hAnsi="Calibri"/>
                <w:sz w:val="22"/>
              </w:rPr>
              <w:t>$48.6B</w:t>
            </w:r>
          </w:p>
        </w:tc>
        <w:tc>
          <w:tcPr>
            <w:tcW w:type="dxa" w:w="1728"/>
          </w:tcPr>
          <w:p>
            <w:r>
              <w:rPr>
                <w:rFonts w:ascii="Calibri" w:hAnsi="Calibri"/>
                <w:sz w:val="22"/>
              </w:rPr>
              <w:t>$48.6B</w:t>
            </w:r>
          </w:p>
        </w:tc>
        <w:tc>
          <w:tcPr>
            <w:tcW w:type="dxa" w:w="1728"/>
          </w:tcPr>
          <w:p>
            <w:r>
              <w:rPr>
                <w:rFonts w:ascii="Calibri" w:hAnsi="Calibri"/>
                <w:sz w:val="22"/>
              </w:rPr>
              <w:t>Flat</w:t>
            </w:r>
          </w:p>
        </w:tc>
        <w:tc>
          <w:tcPr>
            <w:tcW w:type="dxa" w:w="1728"/>
          </w:tcPr>
          <w:p>
            <w:r>
              <w:rPr>
                <w:rFonts w:ascii="Calibri" w:hAnsi="Calibri"/>
                <w:b/>
                <w:color w:val="002FA7"/>
                <w:sz w:val="22"/>
              </w:rPr>
              <w:t>→ Unchanged</w:t>
            </w:r>
          </w:p>
        </w:tc>
      </w:tr>
      <w:tr>
        <w:tc>
          <w:tcPr>
            <w:tcW w:type="dxa" w:w="1728"/>
          </w:tcPr>
          <w:p>
            <w:r>
              <w:rPr>
                <w:rFonts w:ascii="Calibri" w:hAnsi="Calibri"/>
                <w:sz w:val="22"/>
              </w:rPr>
              <w:t>Revenue Net of Interest Expense ($B) — Q2 2026</w:t>
            </w:r>
          </w:p>
        </w:tc>
        <w:tc>
          <w:tcPr>
            <w:tcW w:type="dxa" w:w="1728"/>
          </w:tcPr>
          <w:p>
            <w:r>
              <w:rPr>
                <w:rFonts w:ascii="Calibri" w:hAnsi="Calibri"/>
                <w:sz w:val="22"/>
              </w:rPr>
              <w:t>$3.76B</w:t>
            </w:r>
          </w:p>
        </w:tc>
        <w:tc>
          <w:tcPr>
            <w:tcW w:type="dxa" w:w="1728"/>
          </w:tcPr>
          <w:p>
            <w:r>
              <w:rPr>
                <w:rFonts w:ascii="Calibri" w:hAnsi="Calibri"/>
                <w:sz w:val="22"/>
              </w:rPr>
              <w:t>$3.74B</w:t>
            </w:r>
          </w:p>
        </w:tc>
        <w:tc>
          <w:tcPr>
            <w:tcW w:type="dxa" w:w="1728"/>
          </w:tcPr>
          <w:p>
            <w:r>
              <w:rPr>
                <w:rFonts w:ascii="Calibri" w:hAnsi="Calibri"/>
                <w:sz w:val="22"/>
              </w:rPr>
              <w:t>-$0.02B (-0.5%)</w:t>
            </w:r>
          </w:p>
        </w:tc>
        <w:tc>
          <w:tcPr>
            <w:tcW w:type="dxa" w:w="1728"/>
          </w:tcPr>
          <w:p>
            <w:r>
              <w:rPr>
                <w:rFonts w:ascii="Calibri" w:hAnsi="Calibri"/>
                <w:b/>
                <w:color w:val="002FA7"/>
                <w:sz w:val="22"/>
              </w:rPr>
              <w:t>→ Essentially Unchanged</w:t>
            </w:r>
          </w:p>
        </w:tc>
      </w:tr>
    </w:tbl>
    <w:p>
      <w:r>
        <w:rPr>
          <w:rFonts w:ascii="Calibri" w:hAnsi="Calibri"/>
          <w:i/>
          <w:color w:val="525866"/>
          <w:sz w:val="22"/>
        </w:rPr>
        <w:t>Source: Visible Alpha Consensus and Actuals Data. April 28 snapshot represents post-Q1 earnings consensus; current consensus as of July 20, 2026.</w:t>
      </w:r>
    </w:p>
    <w:p>
      <w:r>
        <w:rPr>
          <w:rFonts w:ascii="Calibri" w:hAnsi="Calibri"/>
          <w:color w:val="525866"/>
          <w:sz w:val="22"/>
        </w:rPr>
        <w:t>The revision pattern is constructive: EPS estimates have moved up while NCO estimates have moved down, both directionally consistent with the CFO's June 9 conference commentary. The lack of meaningful downward EPS revision despite macro uncertainty (tariffs, consumer confidence) suggests the Street is giving management credit for the credit normalization story. The FY 2026 consensus of $9.29 sits comfortably within the $9.10–$9.50 guidance range, implying no imminent guidance cut risk.</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SYF has significantly underperformed both the XLF and SPY since Q1 2026 earnings (April 21), down ~6% vs. XLF +7% and SPY +5%, suggesting the stock is not pricing in a beat and any positive credit surprise could drive a meaningful re-rating.</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SYF vs. XLF vs. SPY — Indexed Price Performance Since Q1 2026 Earnings (April 21, 2026 = 100). Source: Stock Price Data.</w:t>
      </w:r>
    </w:p>
    <w:p>
      <w:r>
        <w:rPr>
          <w:rFonts w:ascii="Calibri" w:hAnsi="Calibri"/>
          <w:color w:val="525866"/>
          <w:sz w:val="22"/>
        </w:rPr>
        <w:t>Key observations:</w:t>
      </w:r>
    </w:p>
    <w:p>
      <w:pPr>
        <w:pStyle w:val="ListBullet"/>
        <w:ind w:left="360" w:hanging="360"/>
      </w:pPr>
      <w:r>
        <w:rPr>
          <w:rFonts w:ascii="Calibri" w:hAnsi="Calibri"/>
          <w:color w:val="525866"/>
          <w:sz w:val="22"/>
        </w:rPr>
        <w:t>SYF closed at $73.41 on July 20, 2026 (post-market $73.69), down from $77.63 on Q1 earnings day (April 21) — a decline of ~$4.22 / -5.4% vs. XLF +7.2% and SPY +5.4% over the same period.</w:t>
      </w:r>
    </w:p>
    <w:p>
      <w:pPr>
        <w:pStyle w:val="ListBullet"/>
        <w:ind w:left="360" w:hanging="360"/>
      </w:pPr>
      <w:r>
        <w:rPr>
          <w:rFonts w:ascii="Calibri" w:hAnsi="Calibri"/>
          <w:color w:val="525866"/>
          <w:sz w:val="22"/>
        </w:rPr>
        <w:t>The stock hit a local high of ~$78.66 on June 26 (following the June 25 shareholder meeting and positive credit trajectory commentary) before pulling back.</w:t>
      </w:r>
    </w:p>
    <w:p>
      <w:pPr>
        <w:pStyle w:val="ListBullet"/>
        <w:ind w:left="360" w:hanging="360"/>
      </w:pPr>
      <w:r>
        <w:rPr>
          <w:rFonts w:ascii="Calibri" w:hAnsi="Calibri"/>
          <w:color w:val="525866"/>
          <w:sz w:val="22"/>
        </w:rPr>
        <w:t>A notable one-day drop occurred on July 8 (from $75.52 to $68.26, -9.6%) — likely driven by broader consumer credit sector fears — followed by a partial recovery to the low-$70s range.</w:t>
      </w:r>
    </w:p>
    <w:p>
      <w:pPr>
        <w:pStyle w:val="ListBullet"/>
        <w:ind w:left="360" w:hanging="360"/>
      </w:pPr>
      <w:r>
        <w:rPr>
          <w:rFonts w:ascii="Calibri" w:hAnsi="Calibri"/>
          <w:color w:val="525866"/>
          <w:sz w:val="22"/>
        </w:rPr>
        <w:t>The stock's underperformance vs. XLF is notable given the constructive credit data points (April NCO 5.5%, delinquencies 4.2% better than seasonality) and suggests the market is pricing in macro risk rather than company-specific deterioration.</w:t>
      </w:r>
    </w:p>
    <w:p>
      <w:pPr>
        <w:pStyle w:val="ListBullet"/>
        <w:ind w:left="360" w:hanging="360"/>
      </w:pPr>
      <w:r>
        <w:rPr>
          <w:rFonts w:ascii="Calibri" w:hAnsi="Calibri"/>
          <w:color w:val="525866"/>
          <w:sz w:val="22"/>
        </w:rPr>
        <w:t>At ~$73, SYF trades at approximately 7.9x NTM operating EPS ($9.29 FY26 consensus), a discount to its historical average and to peers, implying limited expectations and asymmetric upside if Q2 credit prints clean.</w:t>
      </w:r>
    </w:p>
    <w:p>
      <w:r>
        <w:br w:type="page"/>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Across COF, BFH, and AXP, the consistent message from post-Q1 conference appearances is that consumer credit is holding up better than feared, spending is resilient despite low confidence, and charge-off trajectories are improving or stable — all directionally positive read-throughs for SYF's Q2 print. Private-label and retail credit commentary from BFH is the most direct read-through.</w:t>
      </w:r>
    </w:p>
    <w:p>
      <w:r>
        <w:rPr>
          <w:rFonts w:ascii="Calibri" w:hAnsi="Calibri"/>
          <w:i/>
          <w:color w:val="525866"/>
          <w:sz w:val="22"/>
        </w:rPr>
        <w:t>Note: Only forward-looking commentary about Q2 2026 / current environment is included below. Backward-looking Q1 2026 results discussion has been excluded.</w:t>
      </w:r>
    </w:p>
    <w:p>
      <w:pPr>
        <w:pStyle w:val="Heading3"/>
      </w:pPr>
      <w:r>
        <w:rPr>
          <w:rFonts w:ascii="Calibri" w:hAnsi="Calibri"/>
          <w:b/>
          <w:color w:val="3B4259"/>
          <w:sz w:val="24"/>
        </w:rPr>
        <w:t>Capital One Financial (COF) — Morgan Stanley U.S. Financials Conference, June 9, 2026</w:t>
      </w:r>
    </w:p>
    <w:p>
      <w:r>
        <w:rPr>
          <w:rFonts w:ascii="Calibri" w:hAnsi="Calibri"/>
          <w:b/>
          <w:color w:val="525866"/>
          <w:sz w:val="22"/>
        </w:rPr>
        <w:t xml:space="preserve">Relevance to SYF: </w:t>
      </w:r>
      <w:r>
        <w:rPr>
          <w:rFonts w:ascii="Calibri" w:hAnsi="Calibri"/>
          <w:color w:val="525866"/>
          <w:sz w:val="22"/>
        </w:rPr>
        <w:t>COF is the largest co-brand and general-purpose card issuer; its commentary on consumer spending trends, credit normalization, and the competitive landscape for retail partnerships is a direct read-through for SYF's purchase volume and NCO trajectory.</w:t>
      </w:r>
    </w:p>
    <w:p>
      <w:pPr>
        <w:pStyle w:val="ListBullet"/>
        <w:ind w:left="360" w:hanging="360"/>
      </w:pPr>
      <w:r>
        <w:rPr>
          <w:rFonts w:ascii="Calibri" w:hAnsi="Calibri"/>
          <w:b/>
          <w:color w:val="525866"/>
          <w:sz w:val="22"/>
        </w:rPr>
        <w:t xml:space="preserve">Consumer spending resilient despite macro uncertainty: </w:t>
      </w:r>
      <w:r>
        <w:rPr>
          <w:rFonts w:ascii="Calibri" w:hAnsi="Calibri"/>
          <w:color w:val="525866"/>
          <w:sz w:val="22"/>
        </w:rPr>
        <w:t>COF management described consumer spending as holding up well into Q2 2026, with no material deterioration in payment behavior observed across its card portfolio. Confidence was expressed that the consumer remains in reasonable shape, supported by continued employment strength — consistent with SYF's own view that unemployment is the key buffer preventing a consumer tip.</w:t>
      </w:r>
    </w:p>
    <w:p>
      <w:pPr>
        <w:pStyle w:val="ListBullet"/>
        <w:ind w:left="360" w:hanging="360"/>
      </w:pPr>
      <w:r>
        <w:rPr>
          <w:rFonts w:ascii="Calibri" w:hAnsi="Calibri"/>
          <w:b/>
          <w:color w:val="525866"/>
          <w:sz w:val="22"/>
        </w:rPr>
        <w:t xml:space="preserve">Credit normalization on track, no new deterioration: </w:t>
      </w:r>
      <w:r>
        <w:rPr>
          <w:rFonts w:ascii="Calibri" w:hAnsi="Calibri"/>
          <w:color w:val="525866"/>
          <w:sz w:val="22"/>
        </w:rPr>
        <w:t>COF indicated that credit metrics are tracking in line with or better than internal expectations for Q2, with delinquency flows remaining stable. No incremental stress was flagged in the lower-credit-spectrum consumer, which is relevant for SYF's private-label portfolio that skews toward value-oriented retail customers.</w:t>
      </w:r>
    </w:p>
    <w:p>
      <w:pPr>
        <w:pStyle w:val="ListBullet"/>
        <w:ind w:left="360" w:hanging="360"/>
      </w:pPr>
      <w:r>
        <w:rPr>
          <w:rFonts w:ascii="Calibri" w:hAnsi="Calibri"/>
          <w:b/>
          <w:color w:val="525866"/>
          <w:sz w:val="22"/>
        </w:rPr>
        <w:t xml:space="preserve">Competitive dynamics in retail partnerships: </w:t>
      </w:r>
      <w:r>
        <w:rPr>
          <w:rFonts w:ascii="Calibri" w:hAnsi="Calibri"/>
          <w:color w:val="525866"/>
          <w:sz w:val="22"/>
        </w:rPr>
        <w:t>COF described its strategic focus as shifting toward co-brand while maintaining select premier retail relationships (e.g., Macy's, Home Depot). This is consistent with SYF's own characterization of COF's competitive posture and suggests no incremental competitive pressure on SYF's core private-label renewal pipeline heading into Q2.</w:t>
      </w:r>
    </w:p>
    <w:p>
      <w:pPr>
        <w:pStyle w:val="Heading3"/>
      </w:pPr>
      <w:r>
        <w:rPr>
          <w:rFonts w:ascii="Calibri" w:hAnsi="Calibri"/>
          <w:b/>
          <w:color w:val="3B4259"/>
          <w:sz w:val="24"/>
        </w:rPr>
        <w:t>Bread Financial (BFH) — Morgan Stanley U.S. Financials Conference, June 10, 2026</w:t>
      </w:r>
    </w:p>
    <w:p>
      <w:r>
        <w:rPr>
          <w:rFonts w:ascii="Calibri" w:hAnsi="Calibri"/>
          <w:b/>
          <w:color w:val="525866"/>
          <w:sz w:val="22"/>
        </w:rPr>
        <w:t xml:space="preserve">Relevance to SYF: </w:t>
      </w:r>
      <w:r>
        <w:rPr>
          <w:rFonts w:ascii="Calibri" w:hAnsi="Calibri"/>
          <w:color w:val="525866"/>
          <w:sz w:val="22"/>
        </w:rPr>
        <w:t>BFH is the most direct peer read-through — it is a pure-play private-label credit card issuer serving retail partners (including Comenity-branded cards), making its credit quality, purchase volume, and consumer spending commentary the closest proxy for SYF's own portfolio dynamics.</w:t>
      </w:r>
    </w:p>
    <w:p>
      <w:pPr>
        <w:pStyle w:val="ListBullet"/>
        <w:ind w:left="360" w:hanging="360"/>
      </w:pPr>
      <w:r>
        <w:rPr>
          <w:rFonts w:ascii="Calibri" w:hAnsi="Calibri"/>
          <w:b/>
          <w:color w:val="525866"/>
          <w:sz w:val="22"/>
        </w:rPr>
        <w:t xml:space="preserve">Private-label credit quality improving into Q2: </w:t>
      </w:r>
      <w:r>
        <w:rPr>
          <w:rFonts w:ascii="Calibri" w:hAnsi="Calibri"/>
          <w:color w:val="525866"/>
          <w:sz w:val="22"/>
        </w:rPr>
        <w:t>BFH management indicated that credit trends in the private-label portfolio are continuing to improve in Q2 2026, with delinquency rates tracking better than seasonal norms. This is a strong positive read-through for SYF, which has also reported delinquencies at 4.2% (better than seasonality) as of the June conference.</w:t>
      </w:r>
    </w:p>
    <w:p>
      <w:pPr>
        <w:pStyle w:val="ListBullet"/>
        <w:ind w:left="360" w:hanging="360"/>
      </w:pPr>
      <w:r>
        <w:rPr>
          <w:rFonts w:ascii="Calibri" w:hAnsi="Calibri"/>
          <w:b/>
          <w:color w:val="525866"/>
          <w:sz w:val="22"/>
        </w:rPr>
        <w:t xml:space="preserve">Retail consumer spending holding up in key categories: </w:t>
      </w:r>
      <w:r>
        <w:rPr>
          <w:rFonts w:ascii="Calibri" w:hAnsi="Calibri"/>
          <w:color w:val="525866"/>
          <w:sz w:val="22"/>
        </w:rPr>
        <w:t>BFH noted that purchase volume in its retail partner base is showing resilience, particularly in health &amp; wellness and everyday spending categories, while big-ticket discretionary (furniture, home improvement) remains softer. This mirrors SYF's own commentary about green shoots in HVAC and home improvement at Memorial Day, with outdoor/big-ticket remaining a soft spot.</w:t>
      </w:r>
    </w:p>
    <w:p>
      <w:pPr>
        <w:pStyle w:val="ListBullet"/>
        <w:ind w:left="360" w:hanging="360"/>
      </w:pPr>
      <w:r>
        <w:rPr>
          <w:rFonts w:ascii="Calibri" w:hAnsi="Calibri"/>
          <w:b/>
          <w:color w:val="525866"/>
          <w:sz w:val="22"/>
        </w:rPr>
        <w:t xml:space="preserve">Payment rates stabilizing at elevated levels: </w:t>
      </w:r>
      <w:r>
        <w:rPr>
          <w:rFonts w:ascii="Calibri" w:hAnsi="Calibri"/>
          <w:color w:val="525866"/>
          <w:sz w:val="22"/>
        </w:rPr>
        <w:t>BFH flagged that payment rates, while still above historical averages, appear to be stabilizing rather than declining further — a dynamic that, if sustained, would support receivables growth acceleration in the back half of 2026. This is directly relevant to SYF's loan receivables growth trajectory and the pace of the Walmart OnePay ramp.</w:t>
      </w:r>
    </w:p>
    <w:p>
      <w:pPr>
        <w:pStyle w:val="Heading3"/>
      </w:pPr>
      <w:r>
        <w:rPr>
          <w:rFonts w:ascii="Calibri" w:hAnsi="Calibri"/>
          <w:b/>
          <w:color w:val="3B4259"/>
          <w:sz w:val="24"/>
        </w:rPr>
        <w:t>American Express (AXP) — Bernstein Strategic Decisions Conference (May 28) &amp; Morgan Stanley U.S. Financials Conference (June 9, 2026)</w:t>
      </w:r>
    </w:p>
    <w:p>
      <w:r>
        <w:rPr>
          <w:rFonts w:ascii="Calibri" w:hAnsi="Calibri"/>
          <w:b/>
          <w:color w:val="525866"/>
          <w:sz w:val="22"/>
        </w:rPr>
        <w:t xml:space="preserve">Relevance to SYF: </w:t>
      </w:r>
      <w:r>
        <w:rPr>
          <w:rFonts w:ascii="Calibri" w:hAnsi="Calibri"/>
          <w:color w:val="525866"/>
          <w:sz w:val="22"/>
        </w:rPr>
        <w:t>AXP skews toward premium/affluent cardholders, making it a less direct read-through for SYF's value-oriented private-label base; however, AXP's macro and spending commentary provides a useful upper-bound signal on consumer health, and its credit quality observations are relevant for the broader card industry.</w:t>
      </w:r>
    </w:p>
    <w:p>
      <w:pPr>
        <w:pStyle w:val="ListBullet"/>
        <w:ind w:left="360" w:hanging="360"/>
      </w:pPr>
      <w:r>
        <w:rPr>
          <w:rFonts w:ascii="Calibri" w:hAnsi="Calibri"/>
          <w:b/>
          <w:color w:val="525866"/>
          <w:sz w:val="22"/>
        </w:rPr>
        <w:t xml:space="preserve">"Strength across the portfolio" — no inflection point visible: </w:t>
      </w:r>
      <w:r>
        <w:rPr>
          <w:rFonts w:ascii="Calibri" w:hAnsi="Calibri"/>
          <w:color w:val="525866"/>
          <w:sz w:val="22"/>
        </w:rPr>
        <w:t>AXP CFO Christophe Le Caillec stated at the June 9 Morgan Stanley conference that the company sees "strength across the portfolio" with "no inflection point that we can see that is noticeable in the portfolio." He expressed confidence in cardmembers' ability to navigate the current inflation environment without creating a credit event or impacting spend. While AXP's affluent customer base is more insulated, the absence of any stress signal is a positive macro read-through for SYF.</w:t>
      </w:r>
    </w:p>
    <w:p>
      <w:pPr>
        <w:pStyle w:val="ListBullet"/>
        <w:ind w:left="360" w:hanging="360"/>
      </w:pPr>
      <w:r>
        <w:rPr>
          <w:rFonts w:ascii="Calibri" w:hAnsi="Calibri"/>
          <w:b/>
          <w:color w:val="525866"/>
          <w:sz w:val="22"/>
        </w:rPr>
        <w:t xml:space="preserve">Consumer spend holding up; second-order risks monitored: </w:t>
      </w:r>
      <w:r>
        <w:rPr>
          <w:rFonts w:ascii="Calibri" w:hAnsi="Calibri"/>
          <w:color w:val="525866"/>
          <w:sz w:val="22"/>
        </w:rPr>
        <w:t>At the Bernstein conference (May 28), AXP noted that consumer confidence is at all-time lows yet consumer spend is "actually holding up pretty well in many categories." Management flagged the second-order risk of inflation feeding into unemployment and potential credit events as the key watch item — consistent with SYF's own view that unemployment strength is the key buffer. No deterioration had been observed as of the conference date.</w:t>
      </w:r>
    </w:p>
    <w:p>
      <w:pPr>
        <w:pStyle w:val="ListBullet"/>
        <w:ind w:left="360" w:hanging="360"/>
      </w:pPr>
      <w:r>
        <w:rPr>
          <w:rFonts w:ascii="Calibri" w:hAnsi="Calibri"/>
          <w:b/>
          <w:color w:val="525866"/>
          <w:sz w:val="22"/>
        </w:rPr>
        <w:t xml:space="preserve">Tariff / macro uncertainty not yet impacting credit metrics: </w:t>
      </w:r>
      <w:r>
        <w:rPr>
          <w:rFonts w:ascii="Calibri" w:hAnsi="Calibri"/>
          <w:color w:val="525866"/>
          <w:sz w:val="22"/>
        </w:rPr>
        <w:t>AXP management noted that despite the uncertain macro backdrop (tariffs, geopolitical dynamics), credit metrics have not shown any meaningful deterioration. The company described the environment as "so far, so good" while acknowledging the potential for second-order impacts. This is a constructive read-through for SYF's Q2 NCO, which is already tracking at or below the 5.47% consensus.</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Source</w:t>
            </w:r>
          </w:p>
        </w:tc>
        <w:tc>
          <w:tcPr>
            <w:tcW w:type="dxa" w:w="2160"/>
            <w:shd w:val="clear" w:color="auto" w:fill="3B4259"/>
          </w:tcPr>
          <w:p>
            <w:r>
              <w:rPr>
                <w:rFonts w:ascii="Calibri" w:hAnsi="Calibri"/>
                <w:b/>
                <w:color w:val="FFFFFF"/>
                <w:sz w:val="22"/>
              </w:rPr>
              <w:t>Key Signal</w:t>
            </w:r>
          </w:p>
        </w:tc>
        <w:tc>
          <w:tcPr>
            <w:tcW w:type="dxa" w:w="2160"/>
            <w:shd w:val="clear" w:color="auto" w:fill="3B4259"/>
          </w:tcPr>
          <w:p>
            <w:r>
              <w:rPr>
                <w:rFonts w:ascii="Calibri" w:hAnsi="Calibri"/>
                <w:b/>
                <w:color w:val="FFFFFF"/>
                <w:sz w:val="22"/>
              </w:rPr>
              <w:t>SYF Read-Through</w:t>
            </w:r>
          </w:p>
        </w:tc>
      </w:tr>
      <w:tr>
        <w:tc>
          <w:tcPr>
            <w:tcW w:type="dxa" w:w="2160"/>
          </w:tcPr>
          <w:p>
            <w:r>
              <w:rPr>
                <w:rFonts w:ascii="Calibri" w:hAnsi="Calibri"/>
                <w:sz w:val="22"/>
              </w:rPr>
              <w:t>COF</w:t>
            </w:r>
          </w:p>
        </w:tc>
        <w:tc>
          <w:tcPr>
            <w:tcW w:type="dxa" w:w="2160"/>
          </w:tcPr>
          <w:p>
            <w:r>
              <w:rPr>
                <w:rFonts w:ascii="Calibri" w:hAnsi="Calibri"/>
                <w:sz w:val="22"/>
              </w:rPr>
              <w:t>MS Financials, Jun 9</w:t>
            </w:r>
          </w:p>
        </w:tc>
        <w:tc>
          <w:tcPr>
            <w:tcW w:type="dxa" w:w="2160"/>
          </w:tcPr>
          <w:p>
            <w:r>
              <w:rPr>
                <w:rFonts w:ascii="Calibri" w:hAnsi="Calibri"/>
                <w:sz w:val="22"/>
              </w:rPr>
              <w:t>Consumer spending resilient; credit on track; retail partnership focus shifting to co-brand</w:t>
            </w:r>
          </w:p>
        </w:tc>
        <w:tc>
          <w:tcPr>
            <w:tcW w:type="dxa" w:w="2160"/>
          </w:tcPr>
          <w:p>
            <w:r>
              <w:rPr>
                <w:rFonts w:ascii="Calibri" w:hAnsi="Calibri"/>
                <w:b/>
                <w:color w:val="30A46C"/>
                <w:sz w:val="22"/>
              </w:rPr>
              <w:t>Positive</w:t>
            </w:r>
          </w:p>
        </w:tc>
      </w:tr>
      <w:tr>
        <w:tc>
          <w:tcPr>
            <w:tcW w:type="dxa" w:w="2160"/>
          </w:tcPr>
          <w:p>
            <w:r>
              <w:rPr>
                <w:rFonts w:ascii="Calibri" w:hAnsi="Calibri"/>
                <w:sz w:val="22"/>
              </w:rPr>
              <w:t>BFH</w:t>
            </w:r>
          </w:p>
        </w:tc>
        <w:tc>
          <w:tcPr>
            <w:tcW w:type="dxa" w:w="2160"/>
          </w:tcPr>
          <w:p>
            <w:r>
              <w:rPr>
                <w:rFonts w:ascii="Calibri" w:hAnsi="Calibri"/>
                <w:sz w:val="22"/>
              </w:rPr>
              <w:t>MS Financials, Jun 10</w:t>
            </w:r>
          </w:p>
        </w:tc>
        <w:tc>
          <w:tcPr>
            <w:tcW w:type="dxa" w:w="2160"/>
          </w:tcPr>
          <w:p>
            <w:r>
              <w:rPr>
                <w:rFonts w:ascii="Calibri" w:hAnsi="Calibri"/>
                <w:sz w:val="22"/>
              </w:rPr>
              <w:t>Private-label credit improving; retail spend resilient in health/wellness; payment rates stabilizing</w:t>
            </w:r>
          </w:p>
        </w:tc>
        <w:tc>
          <w:tcPr>
            <w:tcW w:type="dxa" w:w="2160"/>
          </w:tcPr>
          <w:p>
            <w:r>
              <w:rPr>
                <w:rFonts w:ascii="Calibri" w:hAnsi="Calibri"/>
                <w:b/>
                <w:color w:val="30A46C"/>
                <w:sz w:val="22"/>
              </w:rPr>
              <w:t>Strongly Positive</w:t>
            </w:r>
          </w:p>
        </w:tc>
      </w:tr>
      <w:tr>
        <w:tc>
          <w:tcPr>
            <w:tcW w:type="dxa" w:w="2160"/>
          </w:tcPr>
          <w:p>
            <w:r>
              <w:rPr>
                <w:rFonts w:ascii="Calibri" w:hAnsi="Calibri"/>
                <w:sz w:val="22"/>
              </w:rPr>
              <w:t>AXP</w:t>
            </w:r>
          </w:p>
        </w:tc>
        <w:tc>
          <w:tcPr>
            <w:tcW w:type="dxa" w:w="2160"/>
          </w:tcPr>
          <w:p>
            <w:r>
              <w:rPr>
                <w:rFonts w:ascii="Calibri" w:hAnsi="Calibri"/>
                <w:sz w:val="22"/>
              </w:rPr>
              <w:t>Bernstein May 28 + MS Jun 9</w:t>
            </w:r>
          </w:p>
        </w:tc>
        <w:tc>
          <w:tcPr>
            <w:tcW w:type="dxa" w:w="2160"/>
          </w:tcPr>
          <w:p>
            <w:r>
              <w:rPr>
                <w:rFonts w:ascii="Calibri" w:hAnsi="Calibri"/>
                <w:sz w:val="22"/>
              </w:rPr>
              <w:t>"Strength across portfolio"; spend holding up; no credit inflection; second-order macro risks monitored</w:t>
            </w:r>
          </w:p>
        </w:tc>
        <w:tc>
          <w:tcPr>
            <w:tcW w:type="dxa" w:w="2160"/>
          </w:tcPr>
          <w:p>
            <w:r>
              <w:rPr>
                <w:rFonts w:ascii="Calibri" w:hAnsi="Calibri"/>
                <w:b/>
                <w:color w:val="30A46C"/>
                <w:sz w:val="22"/>
              </w:rPr>
              <w:t>Positive (upper-bound signal)</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significant post-Q1 development is the executive leadership reshuffle (June 29), which signals a strategic acceleration of AI and digital capabilities; the Series C Preferred Stock issuance (June 2026) adds a modest capital structure consideration, while the monthly credit data (April 8-K) provides the most actionable near-term signal.</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Date</w:t>
            </w:r>
          </w:p>
        </w:tc>
        <w:tc>
          <w:tcPr>
            <w:tcW w:type="dxa" w:w="2880"/>
            <w:shd w:val="clear" w:color="auto" w:fill="3B4259"/>
          </w:tcPr>
          <w:p>
            <w:r>
              <w:rPr>
                <w:rFonts w:ascii="Calibri" w:hAnsi="Calibri"/>
                <w:b/>
                <w:color w:val="FFFFFF"/>
                <w:sz w:val="22"/>
              </w:rPr>
              <w:t>Event</w:t>
            </w:r>
          </w:p>
        </w:tc>
        <w:tc>
          <w:tcPr>
            <w:tcW w:type="dxa" w:w="2880"/>
            <w:shd w:val="clear" w:color="auto" w:fill="3B4259"/>
          </w:tcPr>
          <w:p>
            <w:r>
              <w:rPr>
                <w:rFonts w:ascii="Calibri" w:hAnsi="Calibri"/>
                <w:b/>
                <w:color w:val="FFFFFF"/>
                <w:sz w:val="22"/>
              </w:rPr>
              <w:t>Details &amp; SYF Implications</w:t>
            </w:r>
          </w:p>
        </w:tc>
      </w:tr>
      <w:tr>
        <w:tc>
          <w:tcPr>
            <w:tcW w:type="dxa" w:w="2880"/>
          </w:tcPr>
          <w:p>
            <w:r>
              <w:rPr>
                <w:rFonts w:ascii="Calibri" w:hAnsi="Calibri"/>
                <w:sz w:val="22"/>
              </w:rPr>
              <w:t>June 29, 2026</w:t>
            </w:r>
          </w:p>
        </w:tc>
        <w:tc>
          <w:tcPr>
            <w:tcW w:type="dxa" w:w="2880"/>
          </w:tcPr>
          <w:p>
            <w:r>
              <w:rPr>
                <w:rFonts w:ascii="Calibri" w:hAnsi="Calibri"/>
                <w:sz w:val="22"/>
              </w:rPr>
              <w:t>Executive Leadership Reshuffle</w:t>
            </w:r>
          </w:p>
        </w:tc>
        <w:tc>
          <w:tcPr>
            <w:tcW w:type="dxa" w:w="2880"/>
          </w:tcPr>
          <w:p>
            <w:r>
              <w:rPr>
                <w:rFonts w:ascii="Calibri" w:hAnsi="Calibri"/>
                <w:sz w:val="22"/>
              </w:rPr>
              <w:t>Carol Juel named Digital CEO (succeeding retiring Bart Schaller after 35-year career); Florin Arghirescu promoted to CTO; DJ Casto expanded to Chief People &amp; Operations Officer. Focus: AI acceleration, agentic commerce, digital-first partner experience (Amazon, PayPal, Venmo, Verizon). No financial guidance impact flagged.</w:t>
            </w:r>
          </w:p>
        </w:tc>
      </w:tr>
      <w:tr>
        <w:tc>
          <w:tcPr>
            <w:tcW w:type="dxa" w:w="2880"/>
          </w:tcPr>
          <w:p>
            <w:r>
              <w:rPr>
                <w:rFonts w:ascii="Calibri" w:hAnsi="Calibri"/>
                <w:sz w:val="22"/>
              </w:rPr>
              <w:t>June 25, 2026</w:t>
            </w:r>
          </w:p>
        </w:tc>
        <w:tc>
          <w:tcPr>
            <w:tcW w:type="dxa" w:w="2880"/>
          </w:tcPr>
          <w:p>
            <w:r>
              <w:rPr>
                <w:rFonts w:ascii="Calibri" w:hAnsi="Calibri"/>
                <w:sz w:val="22"/>
              </w:rPr>
              <w:t>Annual Shareholder Meeting</w:t>
            </w:r>
          </w:p>
        </w:tc>
        <w:tc>
          <w:tcPr>
            <w:tcW w:type="dxa" w:w="2880"/>
          </w:tcPr>
          <w:p>
            <w:r>
              <w:rPr>
                <w:rFonts w:ascii="Calibri" w:hAnsi="Calibri"/>
                <w:sz w:val="22"/>
              </w:rPr>
              <w:t>Directors elected, auditor ratified, executive pay approved. Routine governance event; no material financial disclosures.</w:t>
            </w:r>
          </w:p>
        </w:tc>
      </w:tr>
      <w:tr>
        <w:tc>
          <w:tcPr>
            <w:tcW w:type="dxa" w:w="2880"/>
          </w:tcPr>
          <w:p>
            <w:r>
              <w:rPr>
                <w:rFonts w:ascii="Calibri" w:hAnsi="Calibri"/>
                <w:sz w:val="22"/>
              </w:rPr>
              <w:t>June 9, 2026</w:t>
            </w:r>
          </w:p>
        </w:tc>
        <w:tc>
          <w:tcPr>
            <w:tcW w:type="dxa" w:w="2880"/>
          </w:tcPr>
          <w:p>
            <w:r>
              <w:rPr>
                <w:rFonts w:ascii="Calibri" w:hAnsi="Calibri"/>
                <w:sz w:val="22"/>
              </w:rPr>
              <w:t>Morgan Stanley U.S. Financials Conference</w:t>
            </w:r>
          </w:p>
        </w:tc>
        <w:tc>
          <w:tcPr>
            <w:tcW w:type="dxa" w:w="2880"/>
          </w:tcPr>
          <w:p>
            <w:r>
              <w:rPr>
                <w:rFonts w:ascii="Calibri" w:hAnsi="Calibri"/>
                <w:sz w:val="22"/>
              </w:rPr>
              <w:t>CFO Brian Wenzel provided Q2 2026 color: NCO "great" and at/below 5.5–6.0% target range; 30+ delinquencies 4.2% (better than seasonality); EOP loan growth +1.8% including Lowe's; beat seasonality in May. Most important forward-looking data point since Q1 earnings.</w:t>
            </w:r>
          </w:p>
        </w:tc>
      </w:tr>
      <w:tr>
        <w:tc>
          <w:tcPr>
            <w:tcW w:type="dxa" w:w="2880"/>
          </w:tcPr>
          <w:p>
            <w:r>
              <w:rPr>
                <w:rFonts w:ascii="Calibri" w:hAnsi="Calibri"/>
                <w:sz w:val="22"/>
              </w:rPr>
              <w:t>Early June 2026</w:t>
            </w:r>
          </w:p>
        </w:tc>
        <w:tc>
          <w:tcPr>
            <w:tcW w:type="dxa" w:w="2880"/>
          </w:tcPr>
          <w:p>
            <w:r>
              <w:rPr>
                <w:rFonts w:ascii="Calibri" w:hAnsi="Calibri"/>
                <w:sz w:val="22"/>
              </w:rPr>
              <w:t>Series C Preferred Stock Issuance</w:t>
            </w:r>
          </w:p>
        </w:tc>
        <w:tc>
          <w:tcPr>
            <w:tcW w:type="dxa" w:w="2880"/>
          </w:tcPr>
          <w:p>
            <w:r>
              <w:rPr>
                <w:rFonts w:ascii="Calibri" w:hAnsi="Calibri"/>
                <w:sz w:val="22"/>
              </w:rPr>
              <w:t>Synchrony completed a public offering of Series C Preferred Stock at 7.250% coupon. Adds to capital structure; modest preferred dividend impact on common EPS. CET1 remains well above internal target with significant excess capital generated annually.</w:t>
            </w:r>
          </w:p>
        </w:tc>
      </w:tr>
      <w:tr>
        <w:tc>
          <w:tcPr>
            <w:tcW w:type="dxa" w:w="2880"/>
          </w:tcPr>
          <w:p>
            <w:r>
              <w:rPr>
                <w:rFonts w:ascii="Calibri" w:hAnsi="Calibri"/>
                <w:sz w:val="22"/>
              </w:rPr>
              <w:t>May 14, 2026</w:t>
            </w:r>
          </w:p>
        </w:tc>
        <w:tc>
          <w:tcPr>
            <w:tcW w:type="dxa" w:w="2880"/>
          </w:tcPr>
          <w:p>
            <w:r>
              <w:rPr>
                <w:rFonts w:ascii="Calibri" w:hAnsi="Calibri"/>
                <w:sz w:val="22"/>
              </w:rPr>
              <w:t>Monthly Credit Statistics 8-K (April data)</w:t>
            </w:r>
          </w:p>
        </w:tc>
        <w:tc>
          <w:tcPr>
            <w:tcW w:type="dxa" w:w="2880"/>
          </w:tcPr>
          <w:p>
            <w:r>
              <w:rPr>
                <w:rFonts w:ascii="Calibri" w:hAnsi="Calibri"/>
                <w:sz w:val="22"/>
              </w:rPr>
              <w:t>April NCO rate: 5.5% (down from 5.8% in March and February). 30+ delinquency rate: 4.3% (down from 4.5% in March, 4.7% in February). Period-end loan receivables: $100.9B (up from $100.1B in March). Constructive read for Q2 credit trajectory.</w:t>
            </w:r>
          </w:p>
        </w:tc>
      </w:tr>
      <w:tr>
        <w:tc>
          <w:tcPr>
            <w:tcW w:type="dxa" w:w="2880"/>
          </w:tcPr>
          <w:p>
            <w:r>
              <w:rPr>
                <w:rFonts w:ascii="Calibri" w:hAnsi="Calibri"/>
                <w:sz w:val="22"/>
              </w:rPr>
              <w:t>April 21, 2026</w:t>
            </w:r>
          </w:p>
        </w:tc>
        <w:tc>
          <w:tcPr>
            <w:tcW w:type="dxa" w:w="2880"/>
          </w:tcPr>
          <w:p>
            <w:r>
              <w:rPr>
                <w:rFonts w:ascii="Calibri" w:hAnsi="Calibri"/>
                <w:sz w:val="22"/>
              </w:rPr>
              <w:t>Q1 2026 Earnings &amp; $6.5B Buyback Authorization</w:t>
            </w:r>
          </w:p>
        </w:tc>
        <w:tc>
          <w:tcPr>
            <w:tcW w:type="dxa" w:w="2880"/>
          </w:tcPr>
          <w:p>
            <w:r>
              <w:rPr>
                <w:rFonts w:ascii="Calibri" w:hAnsi="Calibri"/>
                <w:sz w:val="22"/>
              </w:rPr>
              <w:t>Q1 results: EPS in line, revenue beat, NCO well below consensus. Board approved $6.5B share repurchase program (no expiration). Dividend increase announced beginning Q3 2026. FY26 EPS guidance maintained at $9.10–$9.50; NCO guidance tightened to below 5.5%.</w:t>
            </w:r>
          </w:p>
        </w:tc>
      </w:tr>
    </w:tbl>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The only insider transactions since Q1 earnings were three pre-planned 10b5-1 sales on May 1, 2026 — all under Rule 10b5-1 plans — which are routine and carry no negative signal; there have been no open-market purchases or discretionary sales.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Insider</w:t>
            </w:r>
          </w:p>
        </w:tc>
        <w:tc>
          <w:tcPr>
            <w:tcW w:type="dxa" w:w="1234"/>
            <w:shd w:val="clear" w:color="auto" w:fill="3B4259"/>
          </w:tcPr>
          <w:p>
            <w:r>
              <w:rPr>
                <w:rFonts w:ascii="Calibri" w:hAnsi="Calibri"/>
                <w:b/>
                <w:color w:val="FFFFFF"/>
                <w:sz w:val="22"/>
              </w:rPr>
              <w:t>Role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10b5-1 Plan?</w:t>
            </w:r>
          </w:p>
        </w:tc>
        <w:tc>
          <w:tcPr>
            <w:tcW w:type="dxa" w:w="1234"/>
            <w:shd w:val="clear" w:color="auto" w:fill="3B4259"/>
          </w:tcPr>
          <w:p>
            <w:r>
              <w:rPr>
                <w:rFonts w:ascii="Calibri" w:hAnsi="Calibri"/>
                <w:b/>
                <w:color w:val="FFFFFF"/>
                <w:sz w:val="22"/>
              </w:rPr>
              <w:t>Shares Owned After</w:t>
            </w:r>
          </w:p>
        </w:tc>
      </w:tr>
      <w:tr>
        <w:tc>
          <w:tcPr>
            <w:tcW w:type="dxa" w:w="1234"/>
          </w:tcPr>
          <w:p>
            <w:r>
              <w:rPr>
                <w:rFonts w:ascii="Calibri" w:hAnsi="Calibri"/>
                <w:sz w:val="22"/>
              </w:rPr>
              <w:t>Alberto Casellas</w:t>
            </w:r>
          </w:p>
        </w:tc>
        <w:tc>
          <w:tcPr>
            <w:tcW w:type="dxa" w:w="1234"/>
          </w:tcPr>
          <w:p>
            <w:r>
              <w:rPr>
                <w:rFonts w:ascii="Calibri" w:hAnsi="Calibri"/>
                <w:sz w:val="22"/>
              </w:rPr>
              <w:t>Executive</w:t>
            </w:r>
          </w:p>
        </w:tc>
        <w:tc>
          <w:tcPr>
            <w:tcW w:type="dxa" w:w="1234"/>
          </w:tcPr>
          <w:p>
            <w:r>
              <w:rPr>
                <w:rFonts w:ascii="Calibri" w:hAnsi="Calibri"/>
                <w:sz w:val="22"/>
              </w:rPr>
              <w:t>May 1, 2026</w:t>
            </w:r>
          </w:p>
        </w:tc>
        <w:tc>
          <w:tcPr>
            <w:tcW w:type="dxa" w:w="1234"/>
          </w:tcPr>
          <w:p>
            <w:r>
              <w:rPr>
                <w:rFonts w:ascii="Calibri" w:hAnsi="Calibri"/>
                <w:sz w:val="22"/>
              </w:rPr>
              <w:t>Sale (Disposition)</w:t>
            </w:r>
          </w:p>
        </w:tc>
        <w:tc>
          <w:tcPr>
            <w:tcW w:type="dxa" w:w="1234"/>
          </w:tcPr>
          <w:p>
            <w:r>
              <w:rPr>
                <w:rFonts w:ascii="Calibri" w:hAnsi="Calibri"/>
                <w:sz w:val="22"/>
              </w:rPr>
              <w:t>5,794</w:t>
            </w:r>
          </w:p>
        </w:tc>
        <w:tc>
          <w:tcPr>
            <w:tcW w:type="dxa" w:w="1234"/>
          </w:tcPr>
          <w:p>
            <w:r>
              <w:rPr>
                <w:rFonts w:ascii="Calibri" w:hAnsi="Calibri"/>
                <w:sz w:val="22"/>
              </w:rPr>
              <w:t>Yes ✔</w:t>
            </w:r>
          </w:p>
        </w:tc>
        <w:tc>
          <w:tcPr>
            <w:tcW w:type="dxa" w:w="1234"/>
          </w:tcPr>
          <w:p>
            <w:r>
              <w:rPr>
                <w:rFonts w:ascii="Calibri" w:hAnsi="Calibri"/>
                <w:sz w:val="22"/>
              </w:rPr>
              <w:t>50,331</w:t>
            </w:r>
          </w:p>
        </w:tc>
      </w:tr>
      <w:tr>
        <w:tc>
          <w:tcPr>
            <w:tcW w:type="dxa" w:w="1234"/>
          </w:tcPr>
          <w:p>
            <w:r>
              <w:rPr>
                <w:rFonts w:ascii="Calibri" w:hAnsi="Calibri"/>
                <w:sz w:val="22"/>
              </w:rPr>
              <w:t>Arthur W. Coviello Jr.</w:t>
            </w:r>
          </w:p>
        </w:tc>
        <w:tc>
          <w:tcPr>
            <w:tcW w:type="dxa" w:w="1234"/>
          </w:tcPr>
          <w:p>
            <w:r>
              <w:rPr>
                <w:rFonts w:ascii="Calibri" w:hAnsi="Calibri"/>
                <w:sz w:val="22"/>
              </w:rPr>
              <w:t>Director</w:t>
            </w:r>
          </w:p>
        </w:tc>
        <w:tc>
          <w:tcPr>
            <w:tcW w:type="dxa" w:w="1234"/>
          </w:tcPr>
          <w:p>
            <w:r>
              <w:rPr>
                <w:rFonts w:ascii="Calibri" w:hAnsi="Calibri"/>
                <w:sz w:val="22"/>
              </w:rPr>
              <w:t>May 1, 2026</w:t>
            </w:r>
          </w:p>
        </w:tc>
        <w:tc>
          <w:tcPr>
            <w:tcW w:type="dxa" w:w="1234"/>
          </w:tcPr>
          <w:p>
            <w:r>
              <w:rPr>
                <w:rFonts w:ascii="Calibri" w:hAnsi="Calibri"/>
                <w:sz w:val="22"/>
              </w:rPr>
              <w:t>Sale (Disposition)</w:t>
            </w:r>
          </w:p>
        </w:tc>
        <w:tc>
          <w:tcPr>
            <w:tcW w:type="dxa" w:w="1234"/>
          </w:tcPr>
          <w:p>
            <w:r>
              <w:rPr>
                <w:rFonts w:ascii="Calibri" w:hAnsi="Calibri"/>
                <w:sz w:val="22"/>
              </w:rPr>
              <w:t>4,000</w:t>
            </w:r>
          </w:p>
        </w:tc>
        <w:tc>
          <w:tcPr>
            <w:tcW w:type="dxa" w:w="1234"/>
          </w:tcPr>
          <w:p>
            <w:r>
              <w:rPr>
                <w:rFonts w:ascii="Calibri" w:hAnsi="Calibri"/>
                <w:sz w:val="22"/>
              </w:rPr>
              <w:t>Yes ✔</w:t>
            </w:r>
          </w:p>
        </w:tc>
        <w:tc>
          <w:tcPr>
            <w:tcW w:type="dxa" w:w="1234"/>
          </w:tcPr>
          <w:p>
            <w:r>
              <w:rPr>
                <w:rFonts w:ascii="Calibri" w:hAnsi="Calibri"/>
                <w:sz w:val="22"/>
              </w:rPr>
              <w:t>29,341</w:t>
            </w:r>
          </w:p>
        </w:tc>
      </w:tr>
      <w:tr>
        <w:tc>
          <w:tcPr>
            <w:tcW w:type="dxa" w:w="1234"/>
          </w:tcPr>
          <w:p>
            <w:r>
              <w:rPr>
                <w:rFonts w:ascii="Calibri" w:hAnsi="Calibri"/>
                <w:sz w:val="22"/>
              </w:rPr>
              <w:t>Curtis Howse</w:t>
            </w:r>
          </w:p>
        </w:tc>
        <w:tc>
          <w:tcPr>
            <w:tcW w:type="dxa" w:w="1234"/>
          </w:tcPr>
          <w:p>
            <w:r>
              <w:rPr>
                <w:rFonts w:ascii="Calibri" w:hAnsi="Calibri"/>
                <w:sz w:val="22"/>
              </w:rPr>
              <w:t>Executive</w:t>
            </w:r>
          </w:p>
        </w:tc>
        <w:tc>
          <w:tcPr>
            <w:tcW w:type="dxa" w:w="1234"/>
          </w:tcPr>
          <w:p>
            <w:r>
              <w:rPr>
                <w:rFonts w:ascii="Calibri" w:hAnsi="Calibri"/>
                <w:sz w:val="22"/>
              </w:rPr>
              <w:t>May 1, 2026</w:t>
            </w:r>
          </w:p>
        </w:tc>
        <w:tc>
          <w:tcPr>
            <w:tcW w:type="dxa" w:w="1234"/>
          </w:tcPr>
          <w:p>
            <w:r>
              <w:rPr>
                <w:rFonts w:ascii="Calibri" w:hAnsi="Calibri"/>
                <w:sz w:val="22"/>
              </w:rPr>
              <w:t>Sale (Disposition)</w:t>
            </w:r>
          </w:p>
        </w:tc>
        <w:tc>
          <w:tcPr>
            <w:tcW w:type="dxa" w:w="1234"/>
          </w:tcPr>
          <w:p>
            <w:r>
              <w:rPr>
                <w:rFonts w:ascii="Calibri" w:hAnsi="Calibri"/>
                <w:sz w:val="22"/>
              </w:rPr>
              <w:t>8,436</w:t>
            </w:r>
          </w:p>
        </w:tc>
        <w:tc>
          <w:tcPr>
            <w:tcW w:type="dxa" w:w="1234"/>
          </w:tcPr>
          <w:p>
            <w:r>
              <w:rPr>
                <w:rFonts w:ascii="Calibri" w:hAnsi="Calibri"/>
                <w:sz w:val="22"/>
              </w:rPr>
              <w:t>Yes ✔</w:t>
            </w:r>
          </w:p>
        </w:tc>
        <w:tc>
          <w:tcPr>
            <w:tcW w:type="dxa" w:w="1234"/>
          </w:tcPr>
          <w:p>
            <w:r>
              <w:rPr>
                <w:rFonts w:ascii="Calibri" w:hAnsi="Calibri"/>
                <w:sz w:val="22"/>
              </w:rPr>
              <w:t>86,437</w:t>
            </w:r>
          </w:p>
        </w:tc>
      </w:tr>
    </w:tbl>
    <w:p>
      <w:r>
        <w:rPr>
          <w:rFonts w:ascii="Calibri" w:hAnsi="Calibri"/>
          <w:color w:val="525866"/>
          <w:sz w:val="22"/>
        </w:rPr>
        <w:t>All three transactions were executed on May 1, 2026 (filed May 5, 2026) under pre-established 10b5-1 trading plans, which are scheduled in advance and carry no informational signal about management's view of near-term business performance. No open-market purchases or discretionary sales have been filed since Q1 earnings. The absence of any discretionary insider buying at current price levels (~$73) is neutral — not a negative signal given the 10b5-1 context.</w:t>
      </w:r>
    </w:p>
    <w:p>
      <w:r>
        <w:rPr>
          <w:rFonts w:ascii="Calibri" w:hAnsi="Calibri"/>
          <w:i/>
          <w:color w:val="525866"/>
          <w:sz w:val="22"/>
        </w:rPr>
        <w:t>Source: SEC Form 4 Filings Database.</w:t>
      </w:r>
    </w:p>
    <w:p>
      <w:r>
        <w:rPr>
          <w:rFonts w:ascii="Calibri" w:hAnsi="Calibri"/>
          <w:b/>
          <w:i/>
          <w:color w:val="525866"/>
          <w:sz w:val="22"/>
        </w:rPr>
        <w:t>— End of Report —</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