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Synchrony Financial (SYF)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Synchrony Financial</w:t>
            </w:r>
          </w:p>
        </w:tc>
      </w:tr>
      <w:tr>
        <w:tc>
          <w:tcPr>
            <w:tcW w:type="dxa" w:w="4320"/>
          </w:tcPr>
          <w:p>
            <w:r>
              <w:rPr>
                <w:rFonts w:ascii="Calibri" w:hAnsi="Calibri"/>
                <w:b/>
                <w:sz w:val="22"/>
              </w:rPr>
              <w:t>Ticker</w:t>
            </w:r>
          </w:p>
        </w:tc>
        <w:tc>
          <w:tcPr>
            <w:tcW w:type="dxa" w:w="4320"/>
          </w:tcPr>
          <w:p>
            <w:r>
              <w:rPr>
                <w:rFonts w:ascii="Calibri" w:hAnsi="Calibri"/>
                <w:sz w:val="22"/>
              </w:rPr>
              <w:t>SYF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21, 2026 — 8:00 AM ET</w:t>
            </w:r>
          </w:p>
        </w:tc>
      </w:tr>
      <w:tr>
        <w:tc>
          <w:tcPr>
            <w:tcW w:type="dxa" w:w="4320"/>
          </w:tcPr>
          <w:p>
            <w:r>
              <w:rPr>
                <w:rFonts w:ascii="Calibri" w:hAnsi="Calibri"/>
                <w:b/>
                <w:sz w:val="22"/>
              </w:rPr>
              <w:t>Prepared</w:t>
            </w:r>
          </w:p>
        </w:tc>
        <w:tc>
          <w:tcPr>
            <w:tcW w:type="dxa" w:w="4320"/>
          </w:tcPr>
          <w:p>
            <w:r>
              <w:rPr>
                <w:rFonts w:ascii="Calibri" w:hAnsi="Calibri"/>
                <w:sz w:val="22"/>
              </w:rPr>
              <w:t>July 20, 2026</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is modestly constructive — consensus sits at a manageable bar on EPS and credit, but the real swing factor is whether loan receivables growth has accelerated enough in the back half to validate management's mid-single-digit year-end target.</w:t>
      </w:r>
    </w:p>
    <w:p>
      <w:r>
        <w:rPr>
          <w:rFonts w:ascii="Calibri" w:hAnsi="Calibri"/>
          <w:color w:val="525866"/>
          <w:sz w:val="22"/>
        </w:rPr>
        <w:t>Heading into Q2 2026, the bar for SYF looks achievable but not easy. Consensus Operating EPS of ~$2.13 implies modest sequential improvement from Q1's $2.27 reported figure, and the net charge-off rate estimate of ~5.47% sits comfortably inside management's full-year guidance of below 5.5%, leaving room for a positive credit surprise similar to Q1. Management's tone since the April 21 earnings call has been consistently optimistic: three consecutive months of positive year-over-year loan receivables growth through May 2026 (beating seasonality), record Q1 purchase volume, and the Lowe's commercial portfolio addition in early April all support the growth narrative. Estimate revisions have been modestly positive since the Q1 print — 2Q EPS consensus has drifted from ~$2.10 to ~$2.13 and the full-year from ~$9.31 to ~$9.29, essentially flat — suggesting the Street is not aggressively chasing the story higher, which keeps the bar from becoming stretched. The stock has underperformed XLF since the Q1 print (down ~5.5% vs. XLF up ~7%), meaning the multiple has compressed further to ~7.4x NTM P/E, and a clean beat on credit with any upward revision to the loan growth trajectory could catalyze a re-rating. The key wildcard is the June monthly charge-off and delinquency data (released via 8-K): the April data showed a 30+ delinquency rate of 4.3% and NCO rate of 5.5%, both improving sequentially — if June data (not yet released) confirms continued improvement, the credit narrative heading into the print will be firmly positive.</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sets a manageable bar on both EPS and credit quality; the net charge-off rate is the bigger swing factor, with the Street modeling ~5.47% vs. management's full-year guide of below 5.5%. Loan receivables growth is the second key watch — any acceleration toward mid-single digits would be a positive catalyst.</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Diluted Operating EPS ($)</w:t>
            </w:r>
          </w:p>
        </w:tc>
        <w:tc>
          <w:tcPr>
            <w:tcW w:type="dxa" w:w="1234"/>
          </w:tcPr>
          <w:p>
            <w:r>
              <w:rPr>
                <w:rFonts w:ascii="Calibri" w:hAnsi="Calibri"/>
                <w:sz w:val="22"/>
              </w:rPr>
              <w:t>$2.27</w:t>
            </w:r>
          </w:p>
        </w:tc>
        <w:tc>
          <w:tcPr>
            <w:tcW w:type="dxa" w:w="1234"/>
          </w:tcPr>
          <w:p>
            <w:r>
              <w:rPr>
                <w:rFonts w:ascii="Calibri" w:hAnsi="Calibri"/>
                <w:sz w:val="22"/>
              </w:rPr>
              <w:t>$2.47</w:t>
            </w:r>
          </w:p>
        </w:tc>
        <w:tc>
          <w:tcPr>
            <w:tcW w:type="dxa" w:w="1234"/>
          </w:tcPr>
          <w:p>
            <w:r>
              <w:rPr>
                <w:rFonts w:ascii="Calibri" w:hAnsi="Calibri"/>
                <w:sz w:val="22"/>
              </w:rPr>
              <w:t>$2.13</w:t>
            </w:r>
          </w:p>
        </w:tc>
        <w:tc>
          <w:tcPr>
            <w:tcW w:type="dxa" w:w="1234"/>
          </w:tcPr>
          <w:p>
            <w:r>
              <w:rPr>
                <w:rFonts w:ascii="Calibri" w:hAnsi="Calibri"/>
                <w:b/>
                <w:color w:val="E5484D"/>
                <w:sz w:val="22"/>
              </w:rPr>
              <w:t>−13.8%</w:t>
            </w:r>
          </w:p>
        </w:tc>
        <w:tc>
          <w:tcPr>
            <w:tcW w:type="dxa" w:w="1234"/>
          </w:tcPr>
          <w:p>
            <w:r>
              <w:rPr>
                <w:rFonts w:ascii="Calibri" w:hAnsi="Calibri"/>
                <w:sz w:val="22"/>
              </w:rPr>
              <w:t>FY $9.10–$9.50 (mid: $9.30)</w:t>
            </w:r>
          </w:p>
        </w:tc>
        <w:tc>
          <w:tcPr>
            <w:tcW w:type="dxa" w:w="1234"/>
          </w:tcPr>
          <w:p>
            <w:r>
              <w:rPr>
                <w:rFonts w:ascii="Calibri" w:hAnsi="Calibri"/>
                <w:sz w:val="22"/>
              </w:rPr>
              <w:t>FY cons. $9.29 ≈ −0.1% vs. mid</w:t>
            </w:r>
          </w:p>
        </w:tc>
      </w:tr>
      <w:tr>
        <w:tc>
          <w:tcPr>
            <w:tcW w:type="dxa" w:w="1234"/>
          </w:tcPr>
          <w:p>
            <w:r>
              <w:rPr>
                <w:rFonts w:ascii="Calibri" w:hAnsi="Calibri"/>
                <w:sz w:val="22"/>
              </w:rPr>
              <w:t>Total Loan Receivables ($B)</w:t>
            </w:r>
          </w:p>
        </w:tc>
        <w:tc>
          <w:tcPr>
            <w:tcW w:type="dxa" w:w="1234"/>
          </w:tcPr>
          <w:p>
            <w:r>
              <w:rPr>
                <w:rFonts w:ascii="Calibri" w:hAnsi="Calibri"/>
                <w:sz w:val="22"/>
              </w:rPr>
              <w:t>$100.1B</w:t>
            </w:r>
          </w:p>
        </w:tc>
        <w:tc>
          <w:tcPr>
            <w:tcW w:type="dxa" w:w="1234"/>
          </w:tcPr>
          <w:p>
            <w:r>
              <w:rPr>
                <w:rFonts w:ascii="Calibri" w:hAnsi="Calibri"/>
                <w:sz w:val="22"/>
              </w:rPr>
              <w:t>$99.8B</w:t>
            </w:r>
          </w:p>
        </w:tc>
        <w:tc>
          <w:tcPr>
            <w:tcW w:type="dxa" w:w="1234"/>
          </w:tcPr>
          <w:p>
            <w:r>
              <w:rPr>
                <w:rFonts w:ascii="Calibri" w:hAnsi="Calibri"/>
                <w:sz w:val="22"/>
              </w:rPr>
              <w:t>$102.1B</w:t>
            </w:r>
          </w:p>
        </w:tc>
        <w:tc>
          <w:tcPr>
            <w:tcW w:type="dxa" w:w="1234"/>
          </w:tcPr>
          <w:p>
            <w:r>
              <w:rPr>
                <w:rFonts w:ascii="Calibri" w:hAnsi="Calibri"/>
                <w:b/>
                <w:color w:val="30A46C"/>
                <w:sz w:val="22"/>
              </w:rPr>
              <w:t>+2.3%</w:t>
            </w:r>
          </w:p>
        </w:tc>
        <w:tc>
          <w:tcPr>
            <w:tcW w:type="dxa" w:w="1234"/>
          </w:tcPr>
          <w:p>
            <w:r>
              <w:rPr>
                <w:rFonts w:ascii="Calibri" w:hAnsi="Calibri"/>
                <w:sz w:val="22"/>
              </w:rPr>
              <w:t>Mid-single-digit growth by year-end</w:t>
            </w:r>
          </w:p>
        </w:tc>
        <w:tc>
          <w:tcPr>
            <w:tcW w:type="dxa" w:w="1234"/>
          </w:tcPr>
          <w:p>
            <w:r>
              <w:rPr>
                <w:rFonts w:ascii="Calibri" w:hAnsi="Calibri"/>
                <w:sz w:val="22"/>
              </w:rPr>
              <w:t>Tracking toward guidance</w:t>
            </w:r>
          </w:p>
        </w:tc>
      </w:tr>
      <w:tr>
        <w:tc>
          <w:tcPr>
            <w:tcW w:type="dxa" w:w="1234"/>
          </w:tcPr>
          <w:p>
            <w:r>
              <w:rPr>
                <w:rFonts w:ascii="Calibri" w:hAnsi="Calibri"/>
                <w:sz w:val="22"/>
              </w:rPr>
              <w:t>Net Charge-Off Rate (%)</w:t>
            </w:r>
          </w:p>
        </w:tc>
        <w:tc>
          <w:tcPr>
            <w:tcW w:type="dxa" w:w="1234"/>
          </w:tcPr>
          <w:p>
            <w:r>
              <w:rPr>
                <w:rFonts w:ascii="Calibri" w:hAnsi="Calibri"/>
                <w:sz w:val="22"/>
              </w:rPr>
              <w:t>5.42%</w:t>
            </w:r>
          </w:p>
        </w:tc>
        <w:tc>
          <w:tcPr>
            <w:tcW w:type="dxa" w:w="1234"/>
          </w:tcPr>
          <w:p>
            <w:r>
              <w:rPr>
                <w:rFonts w:ascii="Calibri" w:hAnsi="Calibri"/>
                <w:sz w:val="22"/>
              </w:rPr>
              <w:t>5.70%</w:t>
            </w:r>
          </w:p>
        </w:tc>
        <w:tc>
          <w:tcPr>
            <w:tcW w:type="dxa" w:w="1234"/>
          </w:tcPr>
          <w:p>
            <w:r>
              <w:rPr>
                <w:rFonts w:ascii="Calibri" w:hAnsi="Calibri"/>
                <w:sz w:val="22"/>
              </w:rPr>
              <w:t>5.47%</w:t>
            </w:r>
          </w:p>
        </w:tc>
        <w:tc>
          <w:tcPr>
            <w:tcW w:type="dxa" w:w="1234"/>
          </w:tcPr>
          <w:p>
            <w:r>
              <w:rPr>
                <w:rFonts w:ascii="Calibri" w:hAnsi="Calibri"/>
                <w:b/>
                <w:color w:val="30A46C"/>
                <w:sz w:val="22"/>
              </w:rPr>
              <w:t>−23 bps YoY</w:t>
            </w:r>
          </w:p>
        </w:tc>
        <w:tc>
          <w:tcPr>
            <w:tcW w:type="dxa" w:w="1234"/>
          </w:tcPr>
          <w:p>
            <w:r>
              <w:rPr>
                <w:rFonts w:ascii="Calibri" w:hAnsi="Calibri"/>
                <w:sz w:val="22"/>
              </w:rPr>
              <w:t>Below 5.5% for full year</w:t>
            </w:r>
          </w:p>
        </w:tc>
        <w:tc>
          <w:tcPr>
            <w:tcW w:type="dxa" w:w="1234"/>
          </w:tcPr>
          <w:p>
            <w:r>
              <w:rPr>
                <w:rFonts w:ascii="Calibri" w:hAnsi="Calibri"/>
                <w:sz w:val="22"/>
              </w:rPr>
              <w:t>Cons. ~3 bps below guidance ceiling</w:t>
            </w:r>
          </w:p>
        </w:tc>
      </w:tr>
      <w:tr>
        <w:tc>
          <w:tcPr>
            <w:tcW w:type="dxa" w:w="1234"/>
          </w:tcPr>
          <w:p>
            <w:r>
              <w:rPr>
                <w:rFonts w:ascii="Calibri" w:hAnsi="Calibri"/>
                <w:sz w:val="22"/>
              </w:rPr>
              <w:t>Purchase Volume — Total ($B)</w:t>
            </w:r>
          </w:p>
        </w:tc>
        <w:tc>
          <w:tcPr>
            <w:tcW w:type="dxa" w:w="1234"/>
          </w:tcPr>
          <w:p>
            <w:r>
              <w:rPr>
                <w:rFonts w:ascii="Calibri" w:hAnsi="Calibri"/>
                <w:sz w:val="22"/>
              </w:rPr>
              <w:t>$43.0B</w:t>
            </w:r>
          </w:p>
        </w:tc>
        <w:tc>
          <w:tcPr>
            <w:tcW w:type="dxa" w:w="1234"/>
          </w:tcPr>
          <w:p>
            <w:r>
              <w:rPr>
                <w:rFonts w:ascii="Calibri" w:hAnsi="Calibri"/>
                <w:sz w:val="22"/>
              </w:rPr>
              <w:t>$46.1B</w:t>
            </w:r>
          </w:p>
        </w:tc>
        <w:tc>
          <w:tcPr>
            <w:tcW w:type="dxa" w:w="1234"/>
          </w:tcPr>
          <w:p>
            <w:r>
              <w:rPr>
                <w:rFonts w:ascii="Calibri" w:hAnsi="Calibri"/>
                <w:sz w:val="22"/>
              </w:rPr>
              <w:t>$48.6B</w:t>
            </w:r>
          </w:p>
        </w:tc>
        <w:tc>
          <w:tcPr>
            <w:tcW w:type="dxa" w:w="1234"/>
          </w:tcPr>
          <w:p>
            <w:r>
              <w:rPr>
                <w:rFonts w:ascii="Calibri" w:hAnsi="Calibri"/>
                <w:b/>
                <w:color w:val="30A46C"/>
                <w:sz w:val="22"/>
              </w:rPr>
              <w:t>+5.4%</w:t>
            </w:r>
          </w:p>
        </w:tc>
        <w:tc>
          <w:tcPr>
            <w:tcW w:type="dxa" w:w="1234"/>
          </w:tcPr>
          <w:p>
            <w:r>
              <w:rPr>
                <w:rFonts w:ascii="Calibri" w:hAnsi="Calibri"/>
                <w:sz w:val="22"/>
              </w:rPr>
              <w:t>Accelerated growth expected</w:t>
            </w:r>
          </w:p>
        </w:tc>
        <w:tc>
          <w:tcPr>
            <w:tcW w:type="dxa" w:w="1234"/>
          </w:tcPr>
          <w:p>
            <w:r>
              <w:rPr>
                <w:rFonts w:ascii="Calibri" w:hAnsi="Calibri"/>
                <w:sz w:val="22"/>
              </w:rPr>
              <w:t>Tracking with guidance</w:t>
            </w:r>
          </w:p>
        </w:tc>
      </w:tr>
      <w:tr>
        <w:tc>
          <w:tcPr>
            <w:tcW w:type="dxa" w:w="1234"/>
          </w:tcPr>
          <w:p>
            <w:r>
              <w:rPr>
                <w:rFonts w:ascii="Calibri" w:hAnsi="Calibri"/>
                <w:sz w:val="22"/>
              </w:rPr>
              <w:t>Net Interest Income ($B)</w:t>
            </w:r>
          </w:p>
        </w:tc>
        <w:tc>
          <w:tcPr>
            <w:tcW w:type="dxa" w:w="1234"/>
          </w:tcPr>
          <w:p>
            <w:r>
              <w:rPr>
                <w:rFonts w:ascii="Calibri" w:hAnsi="Calibri"/>
                <w:sz w:val="22"/>
              </w:rPr>
              <w:t>$4.635B</w:t>
            </w:r>
          </w:p>
        </w:tc>
        <w:tc>
          <w:tcPr>
            <w:tcW w:type="dxa" w:w="1234"/>
          </w:tcPr>
          <w:p>
            <w:r>
              <w:rPr>
                <w:rFonts w:ascii="Calibri" w:hAnsi="Calibri"/>
                <w:sz w:val="22"/>
              </w:rPr>
              <w:t>$4.521B</w:t>
            </w:r>
          </w:p>
        </w:tc>
        <w:tc>
          <w:tcPr>
            <w:tcW w:type="dxa" w:w="1234"/>
          </w:tcPr>
          <w:p>
            <w:r>
              <w:rPr>
                <w:rFonts w:ascii="Calibri" w:hAnsi="Calibri"/>
                <w:sz w:val="22"/>
              </w:rPr>
              <w:t>$4.675B</w:t>
            </w:r>
          </w:p>
        </w:tc>
        <w:tc>
          <w:tcPr>
            <w:tcW w:type="dxa" w:w="1234"/>
          </w:tcPr>
          <w:p>
            <w:r>
              <w:rPr>
                <w:rFonts w:ascii="Calibri" w:hAnsi="Calibri"/>
                <w:b/>
                <w:color w:val="30A46C"/>
                <w:sz w:val="22"/>
              </w:rPr>
              <w:t>+3.4%</w:t>
            </w:r>
          </w:p>
        </w:tc>
        <w:tc>
          <w:tcPr>
            <w:tcW w:type="dxa" w:w="1234"/>
          </w:tcPr>
          <w:p>
            <w:r>
              <w:rPr>
                <w:rFonts w:ascii="Calibri" w:hAnsi="Calibri"/>
                <w:sz w:val="22"/>
              </w:rPr>
              <w:t>NII to grow in 2026</w:t>
            </w:r>
          </w:p>
        </w:tc>
        <w:tc>
          <w:tcPr>
            <w:tcW w:type="dxa" w:w="1234"/>
          </w:tcPr>
          <w:p>
            <w:r>
              <w:rPr>
                <w:rFonts w:ascii="Calibri" w:hAnsi="Calibri"/>
                <w:sz w:val="22"/>
              </w:rPr>
              <w:t>Tracking with guidance</w:t>
            </w:r>
          </w:p>
        </w:tc>
      </w:tr>
      <w:tr>
        <w:tc>
          <w:tcPr>
            <w:tcW w:type="dxa" w:w="1234"/>
          </w:tcPr>
          <w:p>
            <w:r>
              <w:rPr>
                <w:rFonts w:ascii="Calibri" w:hAnsi="Calibri"/>
                <w:sz w:val="22"/>
              </w:rPr>
              <w:t>Revenue Net of Interest Expense ($B)</w:t>
            </w:r>
          </w:p>
        </w:tc>
        <w:tc>
          <w:tcPr>
            <w:tcW w:type="dxa" w:w="1234"/>
          </w:tcPr>
          <w:p>
            <w:r>
              <w:rPr>
                <w:rFonts w:ascii="Calibri" w:hAnsi="Calibri"/>
                <w:sz w:val="22"/>
              </w:rPr>
              <w:t>$3.698B</w:t>
            </w:r>
          </w:p>
        </w:tc>
        <w:tc>
          <w:tcPr>
            <w:tcW w:type="dxa" w:w="1234"/>
          </w:tcPr>
          <w:p>
            <w:r>
              <w:rPr>
                <w:rFonts w:ascii="Calibri" w:hAnsi="Calibri"/>
                <w:sz w:val="22"/>
              </w:rPr>
              <w:t>$3.647B</w:t>
            </w:r>
          </w:p>
        </w:tc>
        <w:tc>
          <w:tcPr>
            <w:tcW w:type="dxa" w:w="1234"/>
          </w:tcPr>
          <w:p>
            <w:r>
              <w:rPr>
                <w:rFonts w:ascii="Calibri" w:hAnsi="Calibri"/>
                <w:sz w:val="22"/>
              </w:rPr>
              <w:t>$3.742B</w:t>
            </w:r>
          </w:p>
        </w:tc>
        <w:tc>
          <w:tcPr>
            <w:tcW w:type="dxa" w:w="1234"/>
          </w:tcPr>
          <w:p>
            <w:r>
              <w:rPr>
                <w:rFonts w:ascii="Calibri" w:hAnsi="Calibri"/>
                <w:b/>
                <w:color w:val="30A46C"/>
                <w:sz w:val="22"/>
              </w:rPr>
              <w:t>+2.6%</w:t>
            </w:r>
          </w:p>
        </w:tc>
        <w:tc>
          <w:tcPr>
            <w:tcW w:type="dxa" w:w="1234"/>
          </w:tcPr>
          <w:p>
            <w:r>
              <w:rPr>
                <w:rFonts w:ascii="Calibri" w:hAnsi="Calibri"/>
                <w:sz w:val="22"/>
              </w:rPr>
              <w:t>N/A (no explicit quarterly guide)</w:t>
            </w:r>
          </w:p>
        </w:tc>
        <w:tc>
          <w:tcPr>
            <w:tcW w:type="dxa" w:w="1234"/>
          </w:tcPr>
          <w:p>
            <w:r>
              <w:rPr>
                <w:rFonts w:ascii="Calibri" w:hAnsi="Calibri"/>
                <w:sz w:val="22"/>
              </w:rPr>
              <w:t>N/A</w:t>
            </w:r>
          </w:p>
        </w:tc>
      </w:tr>
    </w:tbl>
    <w:p>
      <w:r>
        <w:rPr>
          <w:rFonts w:ascii="Calibri" w:hAnsi="Calibri"/>
          <w:i/>
          <w:color w:val="525866"/>
          <w:sz w:val="22"/>
        </w:rPr>
        <w:t>Sources: Visible Alpha Consensus and Actuals Data (Diluted Operating EPS, Total Loan Receivables, Net Charge-Off Rate, Purchase Volume, Net Interest Income, Revenue Net of Interest Expense); SYF Q1 2026 Earnings Call transcript and press release (guidance). Q2 2025 actuals and Q1 2026 actuals from Visible Alpha. Q2 2026 consensus as of July 20, 2026.</w:t>
      </w:r>
    </w:p>
    <w:p>
      <w:pPr>
        <w:pStyle w:val="Heading3"/>
      </w:pPr>
      <w:r>
        <w:rPr>
          <w:rFonts w:ascii="Calibri" w:hAnsi="Calibri"/>
          <w:b/>
          <w:color w:val="3B4259"/>
          <w:sz w:val="24"/>
        </w:rPr>
        <w:t>Table 2 — Beat/Miss History (Last 8 Quarters, Top 2 KPIs)</w:t>
      </w:r>
    </w:p>
    <w:p>
      <w:r>
        <w:rPr>
          <w:rFonts w:ascii="Calibri" w:hAnsi="Calibri"/>
          <w:color w:val="525866"/>
          <w:sz w:val="22"/>
        </w:rPr>
        <w:t>KPI 1: Diluted Operating EPS | KPI 2: Net Charge-Off Rate (%)</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Op. EPS</w:t>
            </w:r>
          </w:p>
        </w:tc>
        <w:tc>
          <w:tcPr>
            <w:tcW w:type="dxa" w:w="1440"/>
          </w:tcPr>
          <w:p>
            <w:r>
              <w:rPr>
                <w:rFonts w:ascii="Calibri" w:hAnsi="Calibri"/>
                <w:sz w:val="22"/>
              </w:rPr>
              <w:t>$2.27</w:t>
            </w:r>
          </w:p>
        </w:tc>
        <w:tc>
          <w:tcPr>
            <w:tcW w:type="dxa" w:w="1440"/>
          </w:tcPr>
          <w:p>
            <w:r>
              <w:rPr>
                <w:rFonts w:ascii="Calibri" w:hAnsi="Calibri"/>
                <w:sz w:val="22"/>
              </w:rPr>
              <w:t>$2.21</w:t>
            </w:r>
          </w:p>
        </w:tc>
        <w:tc>
          <w:tcPr>
            <w:tcW w:type="dxa" w:w="1440"/>
          </w:tcPr>
          <w:p>
            <w:r>
              <w:rPr>
                <w:rFonts w:ascii="Calibri" w:hAnsi="Calibri"/>
                <w:b/>
                <w:color w:val="30A46C"/>
                <w:sz w:val="22"/>
              </w:rPr>
              <w:t>+2.7%</w:t>
            </w:r>
          </w:p>
        </w:tc>
        <w:tc>
          <w:tcPr>
            <w:tcW w:type="dxa" w:w="1440"/>
          </w:tcPr>
          <w:p>
            <w:r>
              <w:rPr>
                <w:rFonts w:ascii="Calibri" w:hAnsi="Calibri"/>
                <w:b/>
                <w:sz w:val="22"/>
              </w:rPr>
              <w:t>Beat</w:t>
            </w:r>
          </w:p>
        </w:tc>
      </w:tr>
      <w:tr>
        <w:tc>
          <w:tcPr>
            <w:tcW w:type="dxa" w:w="1440"/>
          </w:tcPr>
          <w:p>
            <w:r>
              <w:rPr>
                <w:rFonts w:ascii="Calibri" w:hAnsi="Calibri"/>
                <w:sz w:val="22"/>
              </w:rPr>
              <w:t>Q1 2026</w:t>
            </w:r>
          </w:p>
        </w:tc>
        <w:tc>
          <w:tcPr>
            <w:tcW w:type="dxa" w:w="1440"/>
          </w:tcPr>
          <w:p>
            <w:r>
              <w:rPr>
                <w:rFonts w:ascii="Calibri" w:hAnsi="Calibri"/>
                <w:sz w:val="22"/>
              </w:rPr>
              <w:t>NCO Rate</w:t>
            </w:r>
          </w:p>
        </w:tc>
        <w:tc>
          <w:tcPr>
            <w:tcW w:type="dxa" w:w="1440"/>
          </w:tcPr>
          <w:p>
            <w:r>
              <w:rPr>
                <w:rFonts w:ascii="Calibri" w:hAnsi="Calibri"/>
                <w:sz w:val="22"/>
              </w:rPr>
              <w:t>5.42%</w:t>
            </w:r>
          </w:p>
        </w:tc>
        <w:tc>
          <w:tcPr>
            <w:tcW w:type="dxa" w:w="1440"/>
          </w:tcPr>
          <w:p>
            <w:r>
              <w:rPr>
                <w:rFonts w:ascii="Calibri" w:hAnsi="Calibri"/>
                <w:sz w:val="22"/>
              </w:rPr>
              <w:t>5.60%</w:t>
            </w:r>
          </w:p>
        </w:tc>
        <w:tc>
          <w:tcPr>
            <w:tcW w:type="dxa" w:w="1440"/>
          </w:tcPr>
          <w:p>
            <w:r>
              <w:rPr>
                <w:rFonts w:ascii="Calibri" w:hAnsi="Calibri"/>
                <w:b/>
                <w:color w:val="30A46C"/>
                <w:sz w:val="22"/>
              </w:rPr>
              <w:t>−18 bps</w:t>
            </w:r>
          </w:p>
        </w:tc>
        <w:tc>
          <w:tcPr>
            <w:tcW w:type="dxa" w:w="1440"/>
          </w:tcPr>
          <w:p>
            <w:r>
              <w:rPr>
                <w:rFonts w:ascii="Calibri" w:hAnsi="Calibri"/>
                <w:b/>
                <w:sz w:val="22"/>
              </w:rPr>
              <w:t>Beat (lower = better)</w:t>
            </w:r>
          </w:p>
        </w:tc>
      </w:tr>
      <w:tr>
        <w:tc>
          <w:tcPr>
            <w:tcW w:type="dxa" w:w="1440"/>
          </w:tcPr>
          <w:p>
            <w:r>
              <w:rPr>
                <w:rFonts w:ascii="Calibri" w:hAnsi="Calibri"/>
                <w:sz w:val="22"/>
              </w:rPr>
              <w:t>Q4 2025</w:t>
            </w:r>
          </w:p>
        </w:tc>
        <w:tc>
          <w:tcPr>
            <w:tcW w:type="dxa" w:w="1440"/>
          </w:tcPr>
          <w:p>
            <w:r>
              <w:rPr>
                <w:rFonts w:ascii="Calibri" w:hAnsi="Calibri"/>
                <w:sz w:val="22"/>
              </w:rPr>
              <w:t>Op. EPS</w:t>
            </w:r>
          </w:p>
        </w:tc>
        <w:tc>
          <w:tcPr>
            <w:tcW w:type="dxa" w:w="1440"/>
          </w:tcPr>
          <w:p>
            <w:r>
              <w:rPr>
                <w:rFonts w:ascii="Calibri" w:hAnsi="Calibri"/>
                <w:sz w:val="22"/>
              </w:rPr>
              <w:t>$2.18</w:t>
            </w:r>
          </w:p>
        </w:tc>
        <w:tc>
          <w:tcPr>
            <w:tcW w:type="dxa" w:w="1440"/>
          </w:tcPr>
          <w:p>
            <w:r>
              <w:rPr>
                <w:rFonts w:ascii="Calibri" w:hAnsi="Calibri"/>
                <w:sz w:val="22"/>
              </w:rPr>
              <w:t>$2.03</w:t>
            </w:r>
          </w:p>
        </w:tc>
        <w:tc>
          <w:tcPr>
            <w:tcW w:type="dxa" w:w="1440"/>
          </w:tcPr>
          <w:p>
            <w:r>
              <w:rPr>
                <w:rFonts w:ascii="Calibri" w:hAnsi="Calibri"/>
                <w:b/>
                <w:color w:val="30A46C"/>
                <w:sz w:val="22"/>
              </w:rPr>
              <w:t>+7.4%</w:t>
            </w:r>
          </w:p>
        </w:tc>
        <w:tc>
          <w:tcPr>
            <w:tcW w:type="dxa" w:w="1440"/>
          </w:tcPr>
          <w:p>
            <w:r>
              <w:rPr>
                <w:rFonts w:ascii="Calibri" w:hAnsi="Calibri"/>
                <w:b/>
                <w:sz w:val="22"/>
              </w:rPr>
              <w:t>Beat</w:t>
            </w:r>
          </w:p>
        </w:tc>
      </w:tr>
      <w:tr>
        <w:tc>
          <w:tcPr>
            <w:tcW w:type="dxa" w:w="1440"/>
          </w:tcPr>
          <w:p>
            <w:r>
              <w:rPr>
                <w:rFonts w:ascii="Calibri" w:hAnsi="Calibri"/>
                <w:sz w:val="22"/>
              </w:rPr>
              <w:t>Q4 2025</w:t>
            </w:r>
          </w:p>
        </w:tc>
        <w:tc>
          <w:tcPr>
            <w:tcW w:type="dxa" w:w="1440"/>
          </w:tcPr>
          <w:p>
            <w:r>
              <w:rPr>
                <w:rFonts w:ascii="Calibri" w:hAnsi="Calibri"/>
                <w:sz w:val="22"/>
              </w:rPr>
              <w:t>NCO Rate</w:t>
            </w:r>
          </w:p>
        </w:tc>
        <w:tc>
          <w:tcPr>
            <w:tcW w:type="dxa" w:w="1440"/>
          </w:tcPr>
          <w:p>
            <w:r>
              <w:rPr>
                <w:rFonts w:ascii="Calibri" w:hAnsi="Calibri"/>
                <w:sz w:val="22"/>
              </w:rPr>
              <w:t>5.41%</w:t>
            </w:r>
          </w:p>
        </w:tc>
        <w:tc>
          <w:tcPr>
            <w:tcW w:type="dxa" w:w="1440"/>
          </w:tcPr>
          <w:p>
            <w:r>
              <w:rPr>
                <w:rFonts w:ascii="Calibri" w:hAnsi="Calibri"/>
                <w:sz w:val="22"/>
              </w:rPr>
              <w:t>5.42%</w:t>
            </w:r>
          </w:p>
        </w:tc>
        <w:tc>
          <w:tcPr>
            <w:tcW w:type="dxa" w:w="1440"/>
          </w:tcPr>
          <w:p>
            <w:r>
              <w:rPr>
                <w:rFonts w:ascii="Calibri" w:hAnsi="Calibri"/>
                <w:b/>
                <w:color w:val="30A46C"/>
                <w:sz w:val="22"/>
              </w:rPr>
              <w:t>−1 bp</w:t>
            </w:r>
          </w:p>
        </w:tc>
        <w:tc>
          <w:tcPr>
            <w:tcW w:type="dxa" w:w="1440"/>
          </w:tcPr>
          <w:p>
            <w:r>
              <w:rPr>
                <w:rFonts w:ascii="Calibri" w:hAnsi="Calibri"/>
                <w:b/>
                <w:sz w:val="22"/>
              </w:rPr>
              <w:t>Slight Beat</w:t>
            </w:r>
          </w:p>
        </w:tc>
      </w:tr>
      <w:tr>
        <w:tc>
          <w:tcPr>
            <w:tcW w:type="dxa" w:w="1440"/>
          </w:tcPr>
          <w:p>
            <w:r>
              <w:rPr>
                <w:rFonts w:ascii="Calibri" w:hAnsi="Calibri"/>
                <w:sz w:val="22"/>
              </w:rPr>
              <w:t>Q3 2025</w:t>
            </w:r>
          </w:p>
        </w:tc>
        <w:tc>
          <w:tcPr>
            <w:tcW w:type="dxa" w:w="1440"/>
          </w:tcPr>
          <w:p>
            <w:r>
              <w:rPr>
                <w:rFonts w:ascii="Calibri" w:hAnsi="Calibri"/>
                <w:sz w:val="22"/>
              </w:rPr>
              <w:t>Op. EPS</w:t>
            </w:r>
          </w:p>
        </w:tc>
        <w:tc>
          <w:tcPr>
            <w:tcW w:type="dxa" w:w="1440"/>
          </w:tcPr>
          <w:p>
            <w:r>
              <w:rPr>
                <w:rFonts w:ascii="Calibri" w:hAnsi="Calibri"/>
                <w:sz w:val="22"/>
              </w:rPr>
              <w:t>$2.95</w:t>
            </w:r>
          </w:p>
        </w:tc>
        <w:tc>
          <w:tcPr>
            <w:tcW w:type="dxa" w:w="1440"/>
          </w:tcPr>
          <w:p>
            <w:r>
              <w:rPr>
                <w:rFonts w:ascii="Calibri" w:hAnsi="Calibri"/>
                <w:sz w:val="22"/>
              </w:rPr>
              <w:t>$2.19</w:t>
            </w:r>
          </w:p>
        </w:tc>
        <w:tc>
          <w:tcPr>
            <w:tcW w:type="dxa" w:w="1440"/>
          </w:tcPr>
          <w:p>
            <w:r>
              <w:rPr>
                <w:rFonts w:ascii="Calibri" w:hAnsi="Calibri"/>
                <w:b/>
                <w:color w:val="30A46C"/>
                <w:sz w:val="22"/>
              </w:rPr>
              <w:t>+34.7%</w:t>
            </w:r>
          </w:p>
        </w:tc>
        <w:tc>
          <w:tcPr>
            <w:tcW w:type="dxa" w:w="1440"/>
          </w:tcPr>
          <w:p>
            <w:r>
              <w:rPr>
                <w:rFonts w:ascii="Calibri" w:hAnsi="Calibri"/>
                <w:b/>
                <w:sz w:val="22"/>
              </w:rPr>
              <w:t>Large Beat</w:t>
            </w:r>
          </w:p>
        </w:tc>
      </w:tr>
      <w:tr>
        <w:tc>
          <w:tcPr>
            <w:tcW w:type="dxa" w:w="1440"/>
          </w:tcPr>
          <w:p>
            <w:r>
              <w:rPr>
                <w:rFonts w:ascii="Calibri" w:hAnsi="Calibri"/>
                <w:sz w:val="22"/>
              </w:rPr>
              <w:t>Q3 2025</w:t>
            </w:r>
          </w:p>
        </w:tc>
        <w:tc>
          <w:tcPr>
            <w:tcW w:type="dxa" w:w="1440"/>
          </w:tcPr>
          <w:p>
            <w:r>
              <w:rPr>
                <w:rFonts w:ascii="Calibri" w:hAnsi="Calibri"/>
                <w:sz w:val="22"/>
              </w:rPr>
              <w:t>NCO Rate</w:t>
            </w:r>
          </w:p>
        </w:tc>
        <w:tc>
          <w:tcPr>
            <w:tcW w:type="dxa" w:w="1440"/>
          </w:tcPr>
          <w:p>
            <w:r>
              <w:rPr>
                <w:rFonts w:ascii="Calibri" w:hAnsi="Calibri"/>
                <w:sz w:val="22"/>
              </w:rPr>
              <w:t>5.20%</w:t>
            </w:r>
          </w:p>
        </w:tc>
        <w:tc>
          <w:tcPr>
            <w:tcW w:type="dxa" w:w="1440"/>
          </w:tcPr>
          <w:p>
            <w:r>
              <w:rPr>
                <w:rFonts w:ascii="Calibri" w:hAnsi="Calibri"/>
                <w:sz w:val="22"/>
              </w:rPr>
              <w:t>5.34%</w:t>
            </w:r>
          </w:p>
        </w:tc>
        <w:tc>
          <w:tcPr>
            <w:tcW w:type="dxa" w:w="1440"/>
          </w:tcPr>
          <w:p>
            <w:r>
              <w:rPr>
                <w:rFonts w:ascii="Calibri" w:hAnsi="Calibri"/>
                <w:b/>
                <w:color w:val="30A46C"/>
                <w:sz w:val="22"/>
              </w:rPr>
              <w:t>−14 bps</w:t>
            </w:r>
          </w:p>
        </w:tc>
        <w:tc>
          <w:tcPr>
            <w:tcW w:type="dxa" w:w="1440"/>
          </w:tcPr>
          <w:p>
            <w:r>
              <w:rPr>
                <w:rFonts w:ascii="Calibri" w:hAnsi="Calibri"/>
                <w:b/>
                <w:sz w:val="22"/>
              </w:rPr>
              <w:t>Beat</w:t>
            </w:r>
          </w:p>
        </w:tc>
      </w:tr>
      <w:tr>
        <w:tc>
          <w:tcPr>
            <w:tcW w:type="dxa" w:w="1440"/>
          </w:tcPr>
          <w:p>
            <w:r>
              <w:rPr>
                <w:rFonts w:ascii="Calibri" w:hAnsi="Calibri"/>
                <w:sz w:val="22"/>
              </w:rPr>
              <w:t>Q2 2025</w:t>
            </w:r>
          </w:p>
        </w:tc>
        <w:tc>
          <w:tcPr>
            <w:tcW w:type="dxa" w:w="1440"/>
          </w:tcPr>
          <w:p>
            <w:r>
              <w:rPr>
                <w:rFonts w:ascii="Calibri" w:hAnsi="Calibri"/>
                <w:sz w:val="22"/>
              </w:rPr>
              <w:t>Op. EPS</w:t>
            </w:r>
          </w:p>
        </w:tc>
        <w:tc>
          <w:tcPr>
            <w:tcW w:type="dxa" w:w="1440"/>
          </w:tcPr>
          <w:p>
            <w:r>
              <w:rPr>
                <w:rFonts w:ascii="Calibri" w:hAnsi="Calibri"/>
                <w:sz w:val="22"/>
              </w:rPr>
              <w:t>$2.47</w:t>
            </w:r>
          </w:p>
        </w:tc>
        <w:tc>
          <w:tcPr>
            <w:tcW w:type="dxa" w:w="1440"/>
          </w:tcPr>
          <w:p>
            <w:r>
              <w:rPr>
                <w:rFonts w:ascii="Calibri" w:hAnsi="Calibri"/>
                <w:sz w:val="22"/>
              </w:rPr>
              <w:t>$1.79</w:t>
            </w:r>
          </w:p>
        </w:tc>
        <w:tc>
          <w:tcPr>
            <w:tcW w:type="dxa" w:w="1440"/>
          </w:tcPr>
          <w:p>
            <w:r>
              <w:rPr>
                <w:rFonts w:ascii="Calibri" w:hAnsi="Calibri"/>
                <w:b/>
                <w:color w:val="30A46C"/>
                <w:sz w:val="22"/>
              </w:rPr>
              <w:t>+38.0%</w:t>
            </w:r>
          </w:p>
        </w:tc>
        <w:tc>
          <w:tcPr>
            <w:tcW w:type="dxa" w:w="1440"/>
          </w:tcPr>
          <w:p>
            <w:r>
              <w:rPr>
                <w:rFonts w:ascii="Calibri" w:hAnsi="Calibri"/>
                <w:b/>
                <w:sz w:val="22"/>
              </w:rPr>
              <w:t>Large Beat</w:t>
            </w:r>
          </w:p>
        </w:tc>
      </w:tr>
      <w:tr>
        <w:tc>
          <w:tcPr>
            <w:tcW w:type="dxa" w:w="1440"/>
          </w:tcPr>
          <w:p>
            <w:r>
              <w:rPr>
                <w:rFonts w:ascii="Calibri" w:hAnsi="Calibri"/>
                <w:sz w:val="22"/>
              </w:rPr>
              <w:t>Q2 2025</w:t>
            </w:r>
          </w:p>
        </w:tc>
        <w:tc>
          <w:tcPr>
            <w:tcW w:type="dxa" w:w="1440"/>
          </w:tcPr>
          <w:p>
            <w:r>
              <w:rPr>
                <w:rFonts w:ascii="Calibri" w:hAnsi="Calibri"/>
                <w:sz w:val="22"/>
              </w:rPr>
              <w:t>NCO Rate</w:t>
            </w:r>
          </w:p>
        </w:tc>
        <w:tc>
          <w:tcPr>
            <w:tcW w:type="dxa" w:w="1440"/>
          </w:tcPr>
          <w:p>
            <w:r>
              <w:rPr>
                <w:rFonts w:ascii="Calibri" w:hAnsi="Calibri"/>
                <w:sz w:val="22"/>
              </w:rPr>
              <w:t>5.70%</w:t>
            </w:r>
          </w:p>
        </w:tc>
        <w:tc>
          <w:tcPr>
            <w:tcW w:type="dxa" w:w="1440"/>
          </w:tcPr>
          <w:p>
            <w:r>
              <w:rPr>
                <w:rFonts w:ascii="Calibri" w:hAnsi="Calibri"/>
                <w:sz w:val="22"/>
              </w:rPr>
              <w:t>5.88%</w:t>
            </w:r>
          </w:p>
        </w:tc>
        <w:tc>
          <w:tcPr>
            <w:tcW w:type="dxa" w:w="1440"/>
          </w:tcPr>
          <w:p>
            <w:r>
              <w:rPr>
                <w:rFonts w:ascii="Calibri" w:hAnsi="Calibri"/>
                <w:b/>
                <w:color w:val="30A46C"/>
                <w:sz w:val="22"/>
              </w:rPr>
              <w:t>−18 bps</w:t>
            </w:r>
          </w:p>
        </w:tc>
        <w:tc>
          <w:tcPr>
            <w:tcW w:type="dxa" w:w="1440"/>
          </w:tcPr>
          <w:p>
            <w:r>
              <w:rPr>
                <w:rFonts w:ascii="Calibri" w:hAnsi="Calibri"/>
                <w:b/>
                <w:sz w:val="22"/>
              </w:rPr>
              <w:t>Beat</w:t>
            </w:r>
          </w:p>
        </w:tc>
      </w:tr>
      <w:tr>
        <w:tc>
          <w:tcPr>
            <w:tcW w:type="dxa" w:w="1440"/>
          </w:tcPr>
          <w:p>
            <w:r>
              <w:rPr>
                <w:rFonts w:ascii="Calibri" w:hAnsi="Calibri"/>
                <w:sz w:val="22"/>
              </w:rPr>
              <w:t>Q1 2025</w:t>
            </w:r>
          </w:p>
        </w:tc>
        <w:tc>
          <w:tcPr>
            <w:tcW w:type="dxa" w:w="1440"/>
          </w:tcPr>
          <w:p>
            <w:r>
              <w:rPr>
                <w:rFonts w:ascii="Calibri" w:hAnsi="Calibri"/>
                <w:sz w:val="22"/>
              </w:rPr>
              <w:t>Op. EPS</w:t>
            </w:r>
          </w:p>
        </w:tc>
        <w:tc>
          <w:tcPr>
            <w:tcW w:type="dxa" w:w="1440"/>
          </w:tcPr>
          <w:p>
            <w:r>
              <w:rPr>
                <w:rFonts w:ascii="Calibri" w:hAnsi="Calibri"/>
                <w:sz w:val="22"/>
              </w:rPr>
              <w:t>$1.95</w:t>
            </w:r>
          </w:p>
        </w:tc>
        <w:tc>
          <w:tcPr>
            <w:tcW w:type="dxa" w:w="1440"/>
          </w:tcPr>
          <w:p>
            <w:r>
              <w:rPr>
                <w:rFonts w:ascii="Calibri" w:hAnsi="Calibri"/>
                <w:sz w:val="22"/>
              </w:rPr>
              <w:t>$1.60</w:t>
            </w:r>
          </w:p>
        </w:tc>
        <w:tc>
          <w:tcPr>
            <w:tcW w:type="dxa" w:w="1440"/>
          </w:tcPr>
          <w:p>
            <w:r>
              <w:rPr>
                <w:rFonts w:ascii="Calibri" w:hAnsi="Calibri"/>
                <w:b/>
                <w:color w:val="30A46C"/>
                <w:sz w:val="22"/>
              </w:rPr>
              <w:t>+21.9%</w:t>
            </w:r>
          </w:p>
        </w:tc>
        <w:tc>
          <w:tcPr>
            <w:tcW w:type="dxa" w:w="1440"/>
          </w:tcPr>
          <w:p>
            <w:r>
              <w:rPr>
                <w:rFonts w:ascii="Calibri" w:hAnsi="Calibri"/>
                <w:b/>
                <w:sz w:val="22"/>
              </w:rPr>
              <w:t>Beat</w:t>
            </w:r>
          </w:p>
        </w:tc>
      </w:tr>
      <w:tr>
        <w:tc>
          <w:tcPr>
            <w:tcW w:type="dxa" w:w="1440"/>
          </w:tcPr>
          <w:p>
            <w:r>
              <w:rPr>
                <w:rFonts w:ascii="Calibri" w:hAnsi="Calibri"/>
                <w:sz w:val="22"/>
              </w:rPr>
              <w:t>Q1 2025</w:t>
            </w:r>
          </w:p>
        </w:tc>
        <w:tc>
          <w:tcPr>
            <w:tcW w:type="dxa" w:w="1440"/>
          </w:tcPr>
          <w:p>
            <w:r>
              <w:rPr>
                <w:rFonts w:ascii="Calibri" w:hAnsi="Calibri"/>
                <w:sz w:val="22"/>
              </w:rPr>
              <w:t>NCO Rate</w:t>
            </w:r>
          </w:p>
        </w:tc>
        <w:tc>
          <w:tcPr>
            <w:tcW w:type="dxa" w:w="1440"/>
          </w:tcPr>
          <w:p>
            <w:r>
              <w:rPr>
                <w:rFonts w:ascii="Calibri" w:hAnsi="Calibri"/>
                <w:sz w:val="22"/>
              </w:rPr>
              <w:t>6.38%</w:t>
            </w:r>
          </w:p>
        </w:tc>
        <w:tc>
          <w:tcPr>
            <w:tcW w:type="dxa" w:w="1440"/>
          </w:tcPr>
          <w:p>
            <w:r>
              <w:rPr>
                <w:rFonts w:ascii="Calibri" w:hAnsi="Calibri"/>
                <w:sz w:val="22"/>
              </w:rPr>
              <w:t>6.61%</w:t>
            </w:r>
          </w:p>
        </w:tc>
        <w:tc>
          <w:tcPr>
            <w:tcW w:type="dxa" w:w="1440"/>
          </w:tcPr>
          <w:p>
            <w:r>
              <w:rPr>
                <w:rFonts w:ascii="Calibri" w:hAnsi="Calibri"/>
                <w:b/>
                <w:color w:val="30A46C"/>
                <w:sz w:val="22"/>
              </w:rPr>
              <w:t>−23 bps</w:t>
            </w:r>
          </w:p>
        </w:tc>
        <w:tc>
          <w:tcPr>
            <w:tcW w:type="dxa" w:w="1440"/>
          </w:tcPr>
          <w:p>
            <w:r>
              <w:rPr>
                <w:rFonts w:ascii="Calibri" w:hAnsi="Calibri"/>
                <w:b/>
                <w:sz w:val="22"/>
              </w:rPr>
              <w:t>Beat</w:t>
            </w:r>
          </w:p>
        </w:tc>
      </w:tr>
      <w:tr>
        <w:tc>
          <w:tcPr>
            <w:tcW w:type="dxa" w:w="1440"/>
          </w:tcPr>
          <w:p>
            <w:r>
              <w:rPr>
                <w:rFonts w:ascii="Calibri" w:hAnsi="Calibri"/>
                <w:sz w:val="22"/>
              </w:rPr>
              <w:t>Q4 2024</w:t>
            </w:r>
          </w:p>
        </w:tc>
        <w:tc>
          <w:tcPr>
            <w:tcW w:type="dxa" w:w="1440"/>
          </w:tcPr>
          <w:p>
            <w:r>
              <w:rPr>
                <w:rFonts w:ascii="Calibri" w:hAnsi="Calibri"/>
                <w:sz w:val="22"/>
              </w:rPr>
              <w:t>Op. EPS</w:t>
            </w:r>
          </w:p>
        </w:tc>
        <w:tc>
          <w:tcPr>
            <w:tcW w:type="dxa" w:w="1440"/>
          </w:tcPr>
          <w:p>
            <w:r>
              <w:rPr>
                <w:rFonts w:ascii="Calibri" w:hAnsi="Calibri"/>
                <w:sz w:val="22"/>
              </w:rPr>
              <w:t>$1.92</w:t>
            </w:r>
          </w:p>
        </w:tc>
        <w:tc>
          <w:tcPr>
            <w:tcW w:type="dxa" w:w="1440"/>
          </w:tcPr>
          <w:p>
            <w:r>
              <w:rPr>
                <w:rFonts w:ascii="Calibri" w:hAnsi="Calibri"/>
                <w:sz w:val="22"/>
              </w:rPr>
              <w:t>$1.88</w:t>
            </w:r>
          </w:p>
        </w:tc>
        <w:tc>
          <w:tcPr>
            <w:tcW w:type="dxa" w:w="1440"/>
          </w:tcPr>
          <w:p>
            <w:r>
              <w:rPr>
                <w:rFonts w:ascii="Calibri" w:hAnsi="Calibri"/>
                <w:b/>
                <w:color w:val="30A46C"/>
                <w:sz w:val="22"/>
              </w:rPr>
              <w:t>+2.1%</w:t>
            </w:r>
          </w:p>
        </w:tc>
        <w:tc>
          <w:tcPr>
            <w:tcW w:type="dxa" w:w="1440"/>
          </w:tcPr>
          <w:p>
            <w:r>
              <w:rPr>
                <w:rFonts w:ascii="Calibri" w:hAnsi="Calibri"/>
                <w:b/>
                <w:sz w:val="22"/>
              </w:rPr>
              <w:t>Beat</w:t>
            </w:r>
          </w:p>
        </w:tc>
      </w:tr>
      <w:tr>
        <w:tc>
          <w:tcPr>
            <w:tcW w:type="dxa" w:w="1440"/>
          </w:tcPr>
          <w:p>
            <w:r>
              <w:rPr>
                <w:rFonts w:ascii="Calibri" w:hAnsi="Calibri"/>
                <w:sz w:val="22"/>
              </w:rPr>
              <w:t>Q4 2024</w:t>
            </w:r>
          </w:p>
        </w:tc>
        <w:tc>
          <w:tcPr>
            <w:tcW w:type="dxa" w:w="1440"/>
          </w:tcPr>
          <w:p>
            <w:r>
              <w:rPr>
                <w:rFonts w:ascii="Calibri" w:hAnsi="Calibri"/>
                <w:sz w:val="22"/>
              </w:rPr>
              <w:t>NCO Rate</w:t>
            </w:r>
          </w:p>
        </w:tc>
        <w:tc>
          <w:tcPr>
            <w:tcW w:type="dxa" w:w="1440"/>
          </w:tcPr>
          <w:p>
            <w:r>
              <w:rPr>
                <w:rFonts w:ascii="Calibri" w:hAnsi="Calibri"/>
                <w:sz w:val="22"/>
              </w:rPr>
              <w:t>6.48%</w:t>
            </w:r>
          </w:p>
        </w:tc>
        <w:tc>
          <w:tcPr>
            <w:tcW w:type="dxa" w:w="1440"/>
          </w:tcPr>
          <w:p>
            <w:r>
              <w:rPr>
                <w:rFonts w:ascii="Calibri" w:hAnsi="Calibri"/>
                <w:sz w:val="22"/>
              </w:rPr>
              <w:t>6.40%</w:t>
            </w:r>
          </w:p>
        </w:tc>
        <w:tc>
          <w:tcPr>
            <w:tcW w:type="dxa" w:w="1440"/>
          </w:tcPr>
          <w:p>
            <w:r>
              <w:rPr>
                <w:rFonts w:ascii="Calibri" w:hAnsi="Calibri"/>
                <w:b/>
                <w:color w:val="E5484D"/>
                <w:sz w:val="22"/>
              </w:rPr>
              <w:t>+8 bps</w:t>
            </w:r>
          </w:p>
        </w:tc>
        <w:tc>
          <w:tcPr>
            <w:tcW w:type="dxa" w:w="1440"/>
          </w:tcPr>
          <w:p>
            <w:r>
              <w:rPr>
                <w:rFonts w:ascii="Calibri" w:hAnsi="Calibri"/>
                <w:b/>
                <w:sz w:val="22"/>
              </w:rPr>
              <w:t>Miss (higher = worse)</w:t>
            </w:r>
          </w:p>
        </w:tc>
      </w:tr>
      <w:tr>
        <w:tc>
          <w:tcPr>
            <w:tcW w:type="dxa" w:w="1440"/>
          </w:tcPr>
          <w:p>
            <w:r>
              <w:rPr>
                <w:rFonts w:ascii="Calibri" w:hAnsi="Calibri"/>
                <w:sz w:val="22"/>
              </w:rPr>
              <w:t>Q3 2024</w:t>
            </w:r>
          </w:p>
        </w:tc>
        <w:tc>
          <w:tcPr>
            <w:tcW w:type="dxa" w:w="1440"/>
          </w:tcPr>
          <w:p>
            <w:r>
              <w:rPr>
                <w:rFonts w:ascii="Calibri" w:hAnsi="Calibri"/>
                <w:sz w:val="22"/>
              </w:rPr>
              <w:t>Op. EPS</w:t>
            </w:r>
          </w:p>
        </w:tc>
        <w:tc>
          <w:tcPr>
            <w:tcW w:type="dxa" w:w="1440"/>
          </w:tcPr>
          <w:p>
            <w:r>
              <w:rPr>
                <w:rFonts w:ascii="Calibri" w:hAnsi="Calibri"/>
                <w:sz w:val="22"/>
              </w:rPr>
              <w:t>$1.96</w:t>
            </w:r>
          </w:p>
        </w:tc>
        <w:tc>
          <w:tcPr>
            <w:tcW w:type="dxa" w:w="1440"/>
          </w:tcPr>
          <w:p>
            <w:r>
              <w:rPr>
                <w:rFonts w:ascii="Calibri" w:hAnsi="Calibri"/>
                <w:sz w:val="22"/>
              </w:rPr>
              <w:t>$1.85</w:t>
            </w:r>
          </w:p>
        </w:tc>
        <w:tc>
          <w:tcPr>
            <w:tcW w:type="dxa" w:w="1440"/>
          </w:tcPr>
          <w:p>
            <w:r>
              <w:rPr>
                <w:rFonts w:ascii="Calibri" w:hAnsi="Calibri"/>
                <w:b/>
                <w:color w:val="30A46C"/>
                <w:sz w:val="22"/>
              </w:rPr>
              <w:t>+5.9%</w:t>
            </w:r>
          </w:p>
        </w:tc>
        <w:tc>
          <w:tcPr>
            <w:tcW w:type="dxa" w:w="1440"/>
          </w:tcPr>
          <w:p>
            <w:r>
              <w:rPr>
                <w:rFonts w:ascii="Calibri" w:hAnsi="Calibri"/>
                <w:b/>
                <w:sz w:val="22"/>
              </w:rPr>
              <w:t>Beat</w:t>
            </w:r>
          </w:p>
        </w:tc>
      </w:tr>
      <w:tr>
        <w:tc>
          <w:tcPr>
            <w:tcW w:type="dxa" w:w="1440"/>
          </w:tcPr>
          <w:p>
            <w:r>
              <w:rPr>
                <w:rFonts w:ascii="Calibri" w:hAnsi="Calibri"/>
                <w:sz w:val="22"/>
              </w:rPr>
              <w:t>Q3 2024</w:t>
            </w:r>
          </w:p>
        </w:tc>
        <w:tc>
          <w:tcPr>
            <w:tcW w:type="dxa" w:w="1440"/>
          </w:tcPr>
          <w:p>
            <w:r>
              <w:rPr>
                <w:rFonts w:ascii="Calibri" w:hAnsi="Calibri"/>
                <w:sz w:val="22"/>
              </w:rPr>
              <w:t>NCO Rate</w:t>
            </w:r>
          </w:p>
        </w:tc>
        <w:tc>
          <w:tcPr>
            <w:tcW w:type="dxa" w:w="1440"/>
          </w:tcPr>
          <w:p>
            <w:r>
              <w:rPr>
                <w:rFonts w:ascii="Calibri" w:hAnsi="Calibri"/>
                <w:sz w:val="22"/>
              </w:rPr>
              <w:t>6.09%</w:t>
            </w:r>
          </w:p>
        </w:tc>
        <w:tc>
          <w:tcPr>
            <w:tcW w:type="dxa" w:w="1440"/>
          </w:tcPr>
          <w:p>
            <w:r>
              <w:rPr>
                <w:rFonts w:ascii="Calibri" w:hAnsi="Calibri"/>
                <w:sz w:val="22"/>
              </w:rPr>
              <w:t>6.01%</w:t>
            </w:r>
          </w:p>
        </w:tc>
        <w:tc>
          <w:tcPr>
            <w:tcW w:type="dxa" w:w="1440"/>
          </w:tcPr>
          <w:p>
            <w:r>
              <w:rPr>
                <w:rFonts w:ascii="Calibri" w:hAnsi="Calibri"/>
                <w:b/>
                <w:color w:val="E5484D"/>
                <w:sz w:val="22"/>
              </w:rPr>
              <w:t>+8 bps</w:t>
            </w:r>
          </w:p>
        </w:tc>
        <w:tc>
          <w:tcPr>
            <w:tcW w:type="dxa" w:w="1440"/>
          </w:tcPr>
          <w:p>
            <w:r>
              <w:rPr>
                <w:rFonts w:ascii="Calibri" w:hAnsi="Calibri"/>
                <w:b/>
                <w:sz w:val="22"/>
              </w:rPr>
              <w:t>Miss (higher = worse)</w:t>
            </w:r>
          </w:p>
        </w:tc>
      </w:tr>
    </w:tbl>
    <w:p>
      <w:r>
        <w:rPr>
          <w:rFonts w:ascii="Calibri" w:hAnsi="Calibri"/>
          <w:b/>
          <w:color w:val="525866"/>
          <w:sz w:val="22"/>
        </w:rPr>
        <w:t xml:space="preserve">Pattern: </w:t>
      </w:r>
      <w:r>
        <w:rPr>
          <w:rFonts w:ascii="Calibri" w:hAnsi="Calibri"/>
          <w:color w:val="525866"/>
          <w:sz w:val="22"/>
        </w:rPr>
        <w:t>SYF has beaten Operating EPS consensus in 7 of the last 8 quarters, with particularly large beats in Q2–Q3 2025 as credit normalized faster than expected. On the NCO rate, SYF has beaten (i.e., reported lower than expected) in 6 of the last 8 quarters, with the two misses occurring in Q3–4 2024 when charge-offs were still peaking. The consistent credit outperformance is the defining pattern and sets a high bar for the credit narrative heading into Q2 2026.</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been stable-to-tightened since the Q1 print — management narrowed the NCO range to below 5.5% (from ~5.5–6%) and maintained EPS guidance of $9.10–$9.50. Tone has shifted more constructively, with three consecutive months of positive YoY loan receivables growth and accelerating new account originations cited as evidence the growth inflection is underway.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21)</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Diluted Op. EPS</w:t>
            </w:r>
          </w:p>
        </w:tc>
        <w:tc>
          <w:tcPr>
            <w:tcW w:type="dxa" w:w="1728"/>
          </w:tcPr>
          <w:p>
            <w:r>
              <w:rPr>
                <w:rFonts w:ascii="Calibri" w:hAnsi="Calibri"/>
                <w:sz w:val="22"/>
              </w:rPr>
              <w:t>$9.10–$9.50</w:t>
            </w:r>
          </w:p>
        </w:tc>
        <w:tc>
          <w:tcPr>
            <w:tcW w:type="dxa" w:w="1728"/>
          </w:tcPr>
          <w:p>
            <w:r>
              <w:rPr>
                <w:rFonts w:ascii="Calibri" w:hAnsi="Calibri"/>
                <w:sz w:val="22"/>
              </w:rPr>
              <w:t>—</w:t>
            </w:r>
          </w:p>
        </w:tc>
        <w:tc>
          <w:tcPr>
            <w:tcW w:type="dxa" w:w="1728"/>
          </w:tcPr>
          <w:p>
            <w:r>
              <w:rPr>
                <w:rFonts w:ascii="Calibri" w:hAnsi="Calibri"/>
                <w:sz w:val="22"/>
              </w:rPr>
              <w:t>$9.29</w:t>
            </w:r>
          </w:p>
        </w:tc>
        <w:tc>
          <w:tcPr>
            <w:tcW w:type="dxa" w:w="1728"/>
          </w:tcPr>
          <w:p>
            <w:r>
              <w:rPr>
                <w:rFonts w:ascii="Calibri" w:hAnsi="Calibri"/>
                <w:sz w:val="22"/>
              </w:rPr>
              <w:t>Unchanged; consensus sits near midpoint of range</w:t>
            </w:r>
          </w:p>
        </w:tc>
      </w:tr>
      <w:tr>
        <w:tc>
          <w:tcPr>
            <w:tcW w:type="dxa" w:w="1728"/>
          </w:tcPr>
          <w:p>
            <w:r>
              <w:rPr>
                <w:rFonts w:ascii="Calibri" w:hAnsi="Calibri"/>
                <w:sz w:val="22"/>
              </w:rPr>
              <w:t>FY 2026 Net Charge-Off Rate</w:t>
            </w:r>
          </w:p>
        </w:tc>
        <w:tc>
          <w:tcPr>
            <w:tcW w:type="dxa" w:w="1728"/>
          </w:tcPr>
          <w:p>
            <w:r>
              <w:rPr>
                <w:rFonts w:ascii="Calibri" w:hAnsi="Calibri"/>
                <w:sz w:val="22"/>
              </w:rPr>
              <w:t>Below 5.5% (tightened from ~5.5–6% prior)</w:t>
            </w:r>
          </w:p>
        </w:tc>
        <w:tc>
          <w:tcPr>
            <w:tcW w:type="dxa" w:w="1728"/>
          </w:tcPr>
          <w:p>
            <w:r>
              <w:rPr>
                <w:rFonts w:ascii="Calibri" w:hAnsi="Calibri"/>
                <w:sz w:val="22"/>
              </w:rPr>
              <w:t>—</w:t>
            </w:r>
          </w:p>
        </w:tc>
        <w:tc>
          <w:tcPr>
            <w:tcW w:type="dxa" w:w="1728"/>
          </w:tcPr>
          <w:p>
            <w:r>
              <w:rPr>
                <w:rFonts w:ascii="Calibri" w:hAnsi="Calibri"/>
                <w:sz w:val="22"/>
              </w:rPr>
              <w:t>5.39%</w:t>
            </w:r>
          </w:p>
        </w:tc>
        <w:tc>
          <w:tcPr>
            <w:tcW w:type="dxa" w:w="1728"/>
          </w:tcPr>
          <w:p>
            <w:r>
              <w:rPr>
                <w:rFonts w:ascii="Calibri" w:hAnsi="Calibri"/>
                <w:sz w:val="22"/>
              </w:rPr>
              <w:t>↑ Tightened at Q1 earnings Apr 21; more confident on credit trajectory; consensus now below guidance ceiling</w:t>
            </w:r>
          </w:p>
        </w:tc>
      </w:tr>
      <w:tr>
        <w:tc>
          <w:tcPr>
            <w:tcW w:type="dxa" w:w="1728"/>
          </w:tcPr>
          <w:p>
            <w:r>
              <w:rPr>
                <w:rFonts w:ascii="Calibri" w:hAnsi="Calibri"/>
                <w:sz w:val="22"/>
              </w:rPr>
              <w:t>Ending Loan Receivables Growth (YE 2026)</w:t>
            </w:r>
          </w:p>
        </w:tc>
        <w:tc>
          <w:tcPr>
            <w:tcW w:type="dxa" w:w="1728"/>
          </w:tcPr>
          <w:p>
            <w:r>
              <w:rPr>
                <w:rFonts w:ascii="Calibri" w:hAnsi="Calibri"/>
                <w:sz w:val="22"/>
              </w:rPr>
              <w:t>Mid-single-digit growth by year-end</w:t>
            </w:r>
          </w:p>
        </w:tc>
        <w:tc>
          <w:tcPr>
            <w:tcW w:type="dxa" w:w="1728"/>
          </w:tcPr>
          <w:p>
            <w:r>
              <w:rPr>
                <w:rFonts w:ascii="Calibri" w:hAnsi="Calibri"/>
                <w:sz w:val="22"/>
              </w:rPr>
              <w:t>—</w:t>
            </w:r>
          </w:p>
        </w:tc>
        <w:tc>
          <w:tcPr>
            <w:tcW w:type="dxa" w:w="1728"/>
          </w:tcPr>
          <w:p>
            <w:r>
              <w:rPr>
                <w:rFonts w:ascii="Calibri" w:hAnsi="Calibri"/>
                <w:sz w:val="22"/>
              </w:rPr>
              <w:t>~$108.7B (FY cons.)</w:t>
            </w:r>
          </w:p>
        </w:tc>
        <w:tc>
          <w:tcPr>
            <w:tcW w:type="dxa" w:w="1728"/>
          </w:tcPr>
          <w:p>
            <w:r>
              <w:rPr>
                <w:rFonts w:ascii="Calibri" w:hAnsi="Calibri"/>
                <w:sz w:val="22"/>
              </w:rPr>
              <w:t>Unchanged; management cited 3 consecutive months of positive YoY growth through May 2026 at Morgan Stanley conference (Jun 9)</w:t>
            </w:r>
          </w:p>
        </w:tc>
      </w:tr>
      <w:tr>
        <w:tc>
          <w:tcPr>
            <w:tcW w:type="dxa" w:w="1728"/>
          </w:tcPr>
          <w:p>
            <w:r>
              <w:rPr>
                <w:rFonts w:ascii="Calibri" w:hAnsi="Calibri"/>
                <w:sz w:val="22"/>
              </w:rPr>
              <w:t>Net Interest Income (FY 2026)</w:t>
            </w:r>
          </w:p>
        </w:tc>
        <w:tc>
          <w:tcPr>
            <w:tcW w:type="dxa" w:w="1728"/>
          </w:tcPr>
          <w:p>
            <w:r>
              <w:rPr>
                <w:rFonts w:ascii="Calibri" w:hAnsi="Calibri"/>
                <w:sz w:val="22"/>
              </w:rPr>
              <w:t>NII to grow in 2026 (higher receivables + PPPC build + lower funding costs)</w:t>
            </w:r>
          </w:p>
        </w:tc>
        <w:tc>
          <w:tcPr>
            <w:tcW w:type="dxa" w:w="1728"/>
          </w:tcPr>
          <w:p>
            <w:r>
              <w:rPr>
                <w:rFonts w:ascii="Calibri" w:hAnsi="Calibri"/>
                <w:sz w:val="22"/>
              </w:rPr>
              <w:t>—</w:t>
            </w:r>
          </w:p>
        </w:tc>
        <w:tc>
          <w:tcPr>
            <w:tcW w:type="dxa" w:w="1728"/>
          </w:tcPr>
          <w:p>
            <w:r>
              <w:rPr>
                <w:rFonts w:ascii="Calibri" w:hAnsi="Calibri"/>
                <w:sz w:val="22"/>
              </w:rPr>
              <w:t>$19.18B</w:t>
            </w:r>
          </w:p>
        </w:tc>
        <w:tc>
          <w:tcPr>
            <w:tcW w:type="dxa" w:w="1728"/>
          </w:tcPr>
          <w:p>
            <w:r>
              <w:rPr>
                <w:rFonts w:ascii="Calibri" w:hAnsi="Calibri"/>
                <w:sz w:val="22"/>
              </w:rPr>
              <w:t>Unchanged; tracking with guidance</w:t>
            </w:r>
          </w:p>
        </w:tc>
      </w:tr>
      <w:tr>
        <w:tc>
          <w:tcPr>
            <w:tcW w:type="dxa" w:w="1728"/>
          </w:tcPr>
          <w:p>
            <w:r>
              <w:rPr>
                <w:rFonts w:ascii="Calibri" w:hAnsi="Calibri"/>
                <w:sz w:val="22"/>
              </w:rPr>
              <w:t>RSAs (% of avg. receivables)</w:t>
            </w:r>
          </w:p>
        </w:tc>
        <w:tc>
          <w:tcPr>
            <w:tcW w:type="dxa" w:w="1728"/>
          </w:tcPr>
          <w:p>
            <w:r>
              <w:rPr>
                <w:rFonts w:ascii="Calibri" w:hAnsi="Calibri"/>
                <w:sz w:val="22"/>
              </w:rPr>
              <w:t>4.0%–4.5% of avg. receivables</w:t>
            </w:r>
          </w:p>
        </w:tc>
        <w:tc>
          <w:tcPr>
            <w:tcW w:type="dxa" w:w="1728"/>
          </w:tcPr>
          <w:p>
            <w:r>
              <w:rPr>
                <w:rFonts w:ascii="Calibri" w:hAnsi="Calibri"/>
                <w:sz w:val="22"/>
              </w:rPr>
              <w:t>—</w:t>
            </w:r>
          </w:p>
        </w:tc>
        <w:tc>
          <w:tcPr>
            <w:tcW w:type="dxa" w:w="1728"/>
          </w:tcPr>
          <w:p>
            <w:r>
              <w:rPr>
                <w:rFonts w:ascii="Calibri" w:hAnsi="Calibri"/>
                <w:sz w:val="22"/>
              </w:rPr>
              <w:t>N/A — not tracked separately in VA</w:t>
            </w:r>
          </w:p>
        </w:tc>
        <w:tc>
          <w:tcPr>
            <w:tcW w:type="dxa" w:w="1728"/>
          </w:tcPr>
          <w:p>
            <w:r>
              <w:rPr>
                <w:rFonts w:ascii="Calibri" w:hAnsi="Calibri"/>
                <w:sz w:val="22"/>
              </w:rPr>
              <w:t>Unchanged; Q1 actual was 4.31%</w:t>
            </w:r>
          </w:p>
        </w:tc>
      </w:tr>
      <w:tr>
        <w:tc>
          <w:tcPr>
            <w:tcW w:type="dxa" w:w="1728"/>
          </w:tcPr>
          <w:p>
            <w:r>
              <w:rPr>
                <w:rFonts w:ascii="Calibri" w:hAnsi="Calibri"/>
                <w:sz w:val="22"/>
              </w:rPr>
              <w:t>Other Expense Growth</w:t>
            </w:r>
          </w:p>
        </w:tc>
        <w:tc>
          <w:tcPr>
            <w:tcW w:type="dxa" w:w="1728"/>
          </w:tcPr>
          <w:p>
            <w:r>
              <w:rPr>
                <w:rFonts w:ascii="Calibri" w:hAnsi="Calibri"/>
                <w:sz w:val="22"/>
              </w:rPr>
              <w:t>Trend in line with loan receivables growth</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management committed to flat headcount / AI-driven productivity</w:t>
            </w:r>
          </w:p>
        </w:tc>
      </w:tr>
    </w:tbl>
    <w:p>
      <w:r>
        <w:rPr>
          <w:rFonts w:ascii="Calibri" w:hAnsi="Calibri"/>
          <w:i/>
          <w:color w:val="525866"/>
          <w:sz w:val="22"/>
        </w:rPr>
        <w:t>Source: SYF Q1 2026 Earnings Call transcript (April 21, 2026); Synchrony Morgan Stanley US Financials Conference announcement (June 2, 2026); Visible Alpha Consensus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for Q2 2026 EPS have drifted modestly higher (+1.4%) since the Q1 print, while the NCO rate estimate has been revised lower (better) by ~7 bps — both moves are consistent with management's guidance and reflect growing confidence in the credit normalization story. Full-year EPS estimates are essentially flat, suggesting the Street is waiting for execution proof before moving numbers materially higher.</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Print (Apr 28, 2026)</w:t>
            </w:r>
          </w:p>
        </w:tc>
        <w:tc>
          <w:tcPr>
            <w:tcW w:type="dxa" w:w="1080"/>
            <w:shd w:val="clear" w:color="auto" w:fill="3B4259"/>
          </w:tcPr>
          <w:p>
            <w:r>
              <w:rPr>
                <w:rFonts w:ascii="Calibri" w:hAnsi="Calibri"/>
                <w:b/>
                <w:color w:val="FFFFFF"/>
                <w:sz w:val="22"/>
              </w:rPr>
              <w:t>Current Consensus (Jul 20,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Guidance (%)</w:t>
            </w:r>
          </w:p>
        </w:tc>
      </w:tr>
      <w:tr>
        <w:tc>
          <w:tcPr>
            <w:tcW w:type="dxa" w:w="1080"/>
          </w:tcPr>
          <w:p>
            <w:r>
              <w:rPr>
                <w:rFonts w:ascii="Calibri" w:hAnsi="Calibri"/>
                <w:sz w:val="22"/>
              </w:rPr>
              <w:t>Op. EPS — Q2 2026</w:t>
            </w:r>
          </w:p>
        </w:tc>
        <w:tc>
          <w:tcPr>
            <w:tcW w:type="dxa" w:w="1080"/>
          </w:tcPr>
          <w:p>
            <w:r>
              <w:rPr>
                <w:rFonts w:ascii="Calibri" w:hAnsi="Calibri"/>
                <w:sz w:val="22"/>
              </w:rPr>
              <w:t>$2.08</w:t>
            </w:r>
          </w:p>
        </w:tc>
        <w:tc>
          <w:tcPr>
            <w:tcW w:type="dxa" w:w="1080"/>
          </w:tcPr>
          <w:p>
            <w:r>
              <w:rPr>
                <w:rFonts w:ascii="Calibri" w:hAnsi="Calibri"/>
                <w:sz w:val="22"/>
              </w:rPr>
              <w:t>$2.13</w:t>
            </w:r>
          </w:p>
        </w:tc>
        <w:tc>
          <w:tcPr>
            <w:tcW w:type="dxa" w:w="1080"/>
          </w:tcPr>
          <w:p>
            <w:r>
              <w:rPr>
                <w:rFonts w:ascii="Calibri" w:hAnsi="Calibri"/>
                <w:b/>
                <w:color w:val="30A46C"/>
                <w:sz w:val="22"/>
              </w:rPr>
              <w:t>+2.4%</w:t>
            </w:r>
          </w:p>
        </w:tc>
        <w:tc>
          <w:tcPr>
            <w:tcW w:type="dxa" w:w="1080"/>
          </w:tcPr>
          <w:p>
            <w:r>
              <w:rPr>
                <w:rFonts w:ascii="Calibri" w:hAnsi="Calibri"/>
                <w:sz w:val="22"/>
              </w:rPr>
              <w:t>N/A (no quarterly EPS guide)</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 EPS — FY 2026</w:t>
            </w:r>
          </w:p>
        </w:tc>
        <w:tc>
          <w:tcPr>
            <w:tcW w:type="dxa" w:w="1080"/>
          </w:tcPr>
          <w:p>
            <w:r>
              <w:rPr>
                <w:rFonts w:ascii="Calibri" w:hAnsi="Calibri"/>
                <w:sz w:val="22"/>
              </w:rPr>
              <w:t>$9.30</w:t>
            </w:r>
          </w:p>
        </w:tc>
        <w:tc>
          <w:tcPr>
            <w:tcW w:type="dxa" w:w="1080"/>
          </w:tcPr>
          <w:p>
            <w:r>
              <w:rPr>
                <w:rFonts w:ascii="Calibri" w:hAnsi="Calibri"/>
                <w:sz w:val="22"/>
              </w:rPr>
              <w:t>$9.29</w:t>
            </w:r>
          </w:p>
        </w:tc>
        <w:tc>
          <w:tcPr>
            <w:tcW w:type="dxa" w:w="1080"/>
          </w:tcPr>
          <w:p>
            <w:r>
              <w:rPr>
                <w:rFonts w:ascii="Calibri" w:hAnsi="Calibri"/>
                <w:sz w:val="22"/>
              </w:rPr>
              <w:t>−0.1%</w:t>
            </w:r>
          </w:p>
        </w:tc>
        <w:tc>
          <w:tcPr>
            <w:tcW w:type="dxa" w:w="1080"/>
          </w:tcPr>
          <w:p>
            <w:r>
              <w:rPr>
                <w:rFonts w:ascii="Calibri" w:hAnsi="Calibri"/>
                <w:sz w:val="22"/>
              </w:rPr>
              <w:t>$9.10–$9.50 (mid: $9.30)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−0.1% vs. midpoint</w:t>
            </w:r>
          </w:p>
        </w:tc>
      </w:tr>
      <w:tr>
        <w:tc>
          <w:tcPr>
            <w:tcW w:type="dxa" w:w="1080"/>
          </w:tcPr>
          <w:p>
            <w:r>
              <w:rPr>
                <w:rFonts w:ascii="Calibri" w:hAnsi="Calibri"/>
                <w:sz w:val="22"/>
              </w:rPr>
              <w:t>NCO Rate — Q2 2026</w:t>
            </w:r>
          </w:p>
        </w:tc>
        <w:tc>
          <w:tcPr>
            <w:tcW w:type="dxa" w:w="1080"/>
          </w:tcPr>
          <w:p>
            <w:r>
              <w:rPr>
                <w:rFonts w:ascii="Calibri" w:hAnsi="Calibri"/>
                <w:sz w:val="22"/>
              </w:rPr>
              <w:t>5.55%</w:t>
            </w:r>
          </w:p>
        </w:tc>
        <w:tc>
          <w:tcPr>
            <w:tcW w:type="dxa" w:w="1080"/>
          </w:tcPr>
          <w:p>
            <w:r>
              <w:rPr>
                <w:rFonts w:ascii="Calibri" w:hAnsi="Calibri"/>
                <w:sz w:val="22"/>
              </w:rPr>
              <w:t>5.47%</w:t>
            </w:r>
          </w:p>
        </w:tc>
        <w:tc>
          <w:tcPr>
            <w:tcW w:type="dxa" w:w="1080"/>
          </w:tcPr>
          <w:p>
            <w:r>
              <w:rPr>
                <w:rFonts w:ascii="Calibri" w:hAnsi="Calibri"/>
                <w:b/>
                <w:color w:val="30A46C"/>
                <w:sz w:val="22"/>
              </w:rPr>
              <w:t>−8 bps</w:t>
            </w:r>
          </w:p>
        </w:tc>
        <w:tc>
          <w:tcPr>
            <w:tcW w:type="dxa" w:w="1080"/>
          </w:tcPr>
          <w:p>
            <w:r>
              <w:rPr>
                <w:rFonts w:ascii="Calibri" w:hAnsi="Calibri"/>
                <w:sz w:val="22"/>
              </w:rPr>
              <w:t>N/A (no quarterly NCO guide)</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NCO Rate — FY 2026</w:t>
            </w:r>
          </w:p>
        </w:tc>
        <w:tc>
          <w:tcPr>
            <w:tcW w:type="dxa" w:w="1080"/>
          </w:tcPr>
          <w:p>
            <w:r>
              <w:rPr>
                <w:rFonts w:ascii="Calibri" w:hAnsi="Calibri"/>
                <w:sz w:val="22"/>
              </w:rPr>
              <w:t>5.40%</w:t>
            </w:r>
          </w:p>
        </w:tc>
        <w:tc>
          <w:tcPr>
            <w:tcW w:type="dxa" w:w="1080"/>
          </w:tcPr>
          <w:p>
            <w:r>
              <w:rPr>
                <w:rFonts w:ascii="Calibri" w:hAnsi="Calibri"/>
                <w:sz w:val="22"/>
              </w:rPr>
              <w:t>5.39%</w:t>
            </w:r>
          </w:p>
        </w:tc>
        <w:tc>
          <w:tcPr>
            <w:tcW w:type="dxa" w:w="1080"/>
          </w:tcPr>
          <w:p>
            <w:r>
              <w:rPr>
                <w:rFonts w:ascii="Calibri" w:hAnsi="Calibri"/>
                <w:sz w:val="22"/>
              </w:rPr>
              <w:t>−1 bp</w:t>
            </w:r>
          </w:p>
        </w:tc>
        <w:tc>
          <w:tcPr>
            <w:tcW w:type="dxa" w:w="1080"/>
          </w:tcPr>
          <w:p>
            <w:r>
              <w:rPr>
                <w:rFonts w:ascii="Calibri" w:hAnsi="Calibri"/>
                <w:sz w:val="22"/>
              </w:rPr>
              <w:t>Below 5.5%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~11 bps below ceiling; cushion intact</w:t>
            </w:r>
          </w:p>
        </w:tc>
      </w:tr>
      <w:tr>
        <w:tc>
          <w:tcPr>
            <w:tcW w:type="dxa" w:w="1080"/>
          </w:tcPr>
          <w:p>
            <w:r>
              <w:rPr>
                <w:rFonts w:ascii="Calibri" w:hAnsi="Calibri"/>
                <w:sz w:val="22"/>
              </w:rPr>
              <w:t>Total Loan Receivables — Q2 2026 ($B)</w:t>
            </w:r>
          </w:p>
        </w:tc>
        <w:tc>
          <w:tcPr>
            <w:tcW w:type="dxa" w:w="1080"/>
          </w:tcPr>
          <w:p>
            <w:r>
              <w:rPr>
                <w:rFonts w:ascii="Calibri" w:hAnsi="Calibri"/>
                <w:sz w:val="22"/>
              </w:rPr>
              <w:t>$102.2B</w:t>
            </w:r>
          </w:p>
        </w:tc>
        <w:tc>
          <w:tcPr>
            <w:tcW w:type="dxa" w:w="1080"/>
          </w:tcPr>
          <w:p>
            <w:r>
              <w:rPr>
                <w:rFonts w:ascii="Calibri" w:hAnsi="Calibri"/>
                <w:sz w:val="22"/>
              </w:rPr>
              <w:t>$102.1B</w:t>
            </w:r>
          </w:p>
        </w:tc>
        <w:tc>
          <w:tcPr>
            <w:tcW w:type="dxa" w:w="1080"/>
          </w:tcPr>
          <w:p>
            <w:r>
              <w:rPr>
                <w:rFonts w:ascii="Calibri" w:hAnsi="Calibri"/>
                <w:sz w:val="22"/>
              </w:rPr>
              <w:t>−0.1%</w:t>
            </w:r>
          </w:p>
        </w:tc>
        <w:tc>
          <w:tcPr>
            <w:tcW w:type="dxa" w:w="1080"/>
          </w:tcPr>
          <w:p>
            <w:r>
              <w:rPr>
                <w:rFonts w:ascii="Calibri" w:hAnsi="Calibri"/>
                <w:sz w:val="22"/>
              </w:rPr>
              <w:t>Mid-single-digit growth by YE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Tracking; acceleration expected in H2</w:t>
            </w:r>
          </w:p>
        </w:tc>
      </w:tr>
      <w:tr>
        <w:tc>
          <w:tcPr>
            <w:tcW w:type="dxa" w:w="1080"/>
          </w:tcPr>
          <w:p>
            <w:r>
              <w:rPr>
                <w:rFonts w:ascii="Calibri" w:hAnsi="Calibri"/>
                <w:sz w:val="22"/>
              </w:rPr>
              <w:t>Total Loan Receivables — FY 2026 ($B)</w:t>
            </w:r>
          </w:p>
        </w:tc>
        <w:tc>
          <w:tcPr>
            <w:tcW w:type="dxa" w:w="1080"/>
          </w:tcPr>
          <w:p>
            <w:r>
              <w:rPr>
                <w:rFonts w:ascii="Calibri" w:hAnsi="Calibri"/>
                <w:sz w:val="22"/>
              </w:rPr>
              <w:t>$108.8B</w:t>
            </w:r>
          </w:p>
        </w:tc>
        <w:tc>
          <w:tcPr>
            <w:tcW w:type="dxa" w:w="1080"/>
          </w:tcPr>
          <w:p>
            <w:r>
              <w:rPr>
                <w:rFonts w:ascii="Calibri" w:hAnsi="Calibri"/>
                <w:sz w:val="22"/>
              </w:rPr>
              <w:t>$108.7B</w:t>
            </w:r>
          </w:p>
        </w:tc>
        <w:tc>
          <w:tcPr>
            <w:tcW w:type="dxa" w:w="1080"/>
          </w:tcPr>
          <w:p>
            <w:r>
              <w:rPr>
                <w:rFonts w:ascii="Calibri" w:hAnsi="Calibri"/>
                <w:sz w:val="22"/>
              </w:rPr>
              <w:t>−0.1%</w:t>
            </w:r>
          </w:p>
        </w:tc>
        <w:tc>
          <w:tcPr>
            <w:tcW w:type="dxa" w:w="1080"/>
          </w:tcPr>
          <w:p>
            <w:r>
              <w:rPr>
                <w:rFonts w:ascii="Calibri" w:hAnsi="Calibri"/>
                <w:sz w:val="22"/>
              </w:rPr>
              <w:t>Mid-single-digit growth by YE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Implies ~8.6% YoY growth; above mid-single-digit</w:t>
            </w:r>
          </w:p>
        </w:tc>
      </w:tr>
    </w:tbl>
    <w:p>
      <w:r>
        <w:rPr>
          <w:rFonts w:ascii="Calibri" w:hAnsi="Calibri"/>
          <w:color w:val="525866"/>
          <w:sz w:val="22"/>
        </w:rPr>
        <w:t>Estimates are tracking guidance closely with no meaningful divergence. The modest upward drift in Q2 EPS estimates (+2.4%) and downward drift in NCO estimates (−8 bps) since the Q1 print reflect growing confidence in the credit normalization story, consistent with management's tightened NCO guidance. The gap between current consensus and guidance represents cushion, not risk.</w:t>
      </w:r>
    </w:p>
    <w:p>
      <w:r>
        <w:rPr>
          <w:rFonts w:ascii="Calibri" w:hAnsi="Calibri"/>
          <w:i/>
          <w:color w:val="525866"/>
          <w:sz w:val="22"/>
        </w:rPr>
        <w:t>Source: Visible Alpha Consensus and Actuals Data (as-of date April 28, 2026 and July 20, 2026); SYF Q1 2026 Earnings Call transcript.</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SYF has significantly underperformed both XLF and the S&amp;P 500 since the Q1 2026 earnings print, driven almost entirely by multiple compression (NTM P/E contracted ~3.3% over 1 month, ~5.4% over 3 months) rather than estimate cuts. The stock's ~6% decline vs. XLF's ~7% gain since April 21 reflects sector rotation into capital-markets-driven financials (GS, MS, BAC) and lingering skepticism about SYF's growth inflection, creating a potentially attractive setup if Q2 delivers on the credit and loan growth narrative.</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SYF vs. XLF (Financial Select Sector SPDR ETF) vs. S&amp;P 500 (SPY) — Indexed to 100 at Q1 2026 Earnings Date (April 21, 2026). Source: Stock Price Data.</w:t>
      </w:r>
    </w:p>
    <w:p>
      <w:r>
        <w:rPr>
          <w:rFonts w:ascii="Calibri" w:hAnsi="Calibri"/>
          <w:color w:val="525866"/>
          <w:sz w:val="22"/>
        </w:rPr>
        <w:t>Key Events Since Q1 Earnings (April 21, 2026):</w:t>
      </w:r>
    </w:p>
    <w:p>
      <w:pPr>
        <w:pStyle w:val="ListBullet"/>
        <w:ind w:left="360" w:hanging="360"/>
      </w:pPr>
      <w:r>
        <w:rPr>
          <w:rFonts w:ascii="Calibri" w:hAnsi="Calibri"/>
          <w:b/>
          <w:color w:val="525866"/>
          <w:sz w:val="22"/>
        </w:rPr>
        <w:t xml:space="preserve">April 21, 2026: </w:t>
      </w:r>
      <w:r>
        <w:rPr>
          <w:rFonts w:ascii="Calibri" w:hAnsi="Calibri"/>
          <w:color w:val="525866"/>
          <w:sz w:val="22"/>
        </w:rPr>
        <w:t>Q1 2026 earnings — EPS beat, revenue beat, NCO rate well below consensus; $6.5B buyback authorized. Stock muted (+0.1% on day).</w:t>
      </w:r>
    </w:p>
    <w:p>
      <w:pPr>
        <w:pStyle w:val="ListBullet"/>
        <w:ind w:left="360" w:hanging="360"/>
      </w:pPr>
      <w:r>
        <w:rPr>
          <w:rFonts w:ascii="Calibri" w:hAnsi="Calibri"/>
          <w:b/>
          <w:color w:val="525866"/>
          <w:sz w:val="22"/>
        </w:rPr>
        <w:t xml:space="preserve">May 1, 2026: </w:t>
      </w:r>
      <w:r>
        <w:rPr>
          <w:rFonts w:ascii="Calibri" w:hAnsi="Calibri"/>
          <w:color w:val="525866"/>
          <w:sz w:val="22"/>
        </w:rPr>
        <w:t>April monthly charge-off/delinquency 8-K filed — 30+ delinquency rate 4.3% (improved from 4.5% in March), NCO rate 5.5% (improved from 5.8%). Positive credit read.</w:t>
      </w:r>
    </w:p>
    <w:p>
      <w:pPr>
        <w:pStyle w:val="ListBullet"/>
        <w:ind w:left="360" w:hanging="360"/>
      </w:pPr>
      <w:r>
        <w:rPr>
          <w:rFonts w:ascii="Calibri" w:hAnsi="Calibri"/>
          <w:b/>
          <w:color w:val="525866"/>
          <w:sz w:val="22"/>
        </w:rPr>
        <w:t xml:space="preserve">June 2, 2026: </w:t>
      </w:r>
      <w:r>
        <w:rPr>
          <w:rFonts w:ascii="Calibri" w:hAnsi="Calibri"/>
          <w:color w:val="525866"/>
          <w:sz w:val="22"/>
        </w:rPr>
        <w:t>CFO Brian Wenzel to participate in Morgan Stanley US Financials Conference fireside chat (June 9). No new financial guidance disclosed.</w:t>
      </w:r>
    </w:p>
    <w:p>
      <w:pPr>
        <w:pStyle w:val="ListBullet"/>
        <w:ind w:left="360" w:hanging="360"/>
      </w:pPr>
      <w:r>
        <w:rPr>
          <w:rFonts w:ascii="Calibri" w:hAnsi="Calibri"/>
          <w:b/>
          <w:color w:val="525866"/>
          <w:sz w:val="22"/>
        </w:rPr>
        <w:t xml:space="preserve">June 29, 2026: </w:t>
      </w:r>
      <w:r>
        <w:rPr>
          <w:rFonts w:ascii="Calibri" w:hAnsi="Calibri"/>
          <w:color w:val="525866"/>
          <w:sz w:val="22"/>
        </w:rPr>
        <w:t>Executive leadership reshuffling — Carol Juel named Digital CEO, Florin Arghirescu promoted to CTO, DJ Casto expanded to Chief People &amp; Operations Officer. Signals accelerated AI/digital investment.</w:t>
      </w:r>
    </w:p>
    <w:p>
      <w:pPr>
        <w:pStyle w:val="ListBullet"/>
        <w:ind w:left="360" w:hanging="360"/>
      </w:pPr>
      <w:r>
        <w:rPr>
          <w:rFonts w:ascii="Calibri" w:hAnsi="Calibri"/>
          <w:b/>
          <w:color w:val="525866"/>
          <w:sz w:val="22"/>
        </w:rPr>
        <w:t xml:space="preserve">June 2, 2026 (Series C Preferred): </w:t>
      </w:r>
      <w:r>
        <w:rPr>
          <w:rFonts w:ascii="Calibri" w:hAnsi="Calibri"/>
          <w:color w:val="525866"/>
          <w:sz w:val="22"/>
        </w:rPr>
        <w:t>SYF completed a public offering of Series C Preferred Stock (7.250% coupon) — new capital structure action, modestly dilutive to common equity but signals confidence in capital generation.</w:t>
      </w:r>
    </w:p>
    <w:p>
      <w:pPr>
        <w:pStyle w:val="ListBullet"/>
        <w:ind w:left="360" w:hanging="360"/>
      </w:pPr>
      <w:r>
        <w:rPr>
          <w:rFonts w:ascii="Calibri" w:hAnsi="Calibri"/>
          <w:b/>
          <w:color w:val="525866"/>
          <w:sz w:val="22"/>
        </w:rPr>
        <w:t xml:space="preserve">July 8, 2026: </w:t>
      </w:r>
      <w:r>
        <w:rPr>
          <w:rFonts w:ascii="Calibri" w:hAnsi="Calibri"/>
          <w:color w:val="525866"/>
          <w:sz w:val="22"/>
        </w:rPr>
        <w:t>Stock dropped ~9% on no company-specific news — likely sector/macro-driven (Middle East tensions, oil price spike). Recovered partially by July 10.</w:t>
      </w:r>
    </w:p>
    <w:p>
      <w:r>
        <w:rPr>
          <w:rFonts w:ascii="Calibri" w:hAnsi="Calibri"/>
          <w:color w:val="525866"/>
          <w:sz w:val="22"/>
        </w:rPr>
        <w:t>Sector ETF: XLF (Financial Select Sector SPDR ETF) — appropriate for SYF as a large-cap US financial services company. XLF has been boosted by strong Q2 bank earnings (JPM, GS, BAC, MS) which are not directly comparable to SYF's consumer credit model, explaining the divergence.</w:t>
      </w:r>
    </w:p>
    <w:p>
      <w:r>
        <w:rPr>
          <w:rFonts w:ascii="Calibri" w:hAnsi="Calibri"/>
          <w:i/>
          <w:color w:val="525866"/>
          <w:sz w:val="22"/>
        </w:rPr>
        <w:t>Source: Stock Price Data (Yahoo Finance); SYF SEC filings and press releases.</w:t>
      </w:r>
    </w:p>
    <w:p>
      <w:r>
        <w:br w:type="page"/>
      </w:r>
    </w:p>
    <w:p>
      <w:pPr>
        <w:pStyle w:val="Heading2"/>
      </w:pPr>
      <w:r>
        <w:rPr>
          <w:rFonts w:ascii="Calibri" w:hAnsi="Calibri"/>
          <w:b/>
          <w:color w:val="3B4259"/>
          <w:sz w:val="28"/>
        </w:rPr>
        <w:t>6. Peer Commentaries &amp; Current-Quarter Read-Through (Q2 2026)</w:t>
      </w:r>
    </w:p>
    <w:p>
      <w:r>
        <w:rPr>
          <w:rFonts w:ascii="Calibri" w:hAnsi="Calibri"/>
          <w:b/>
          <w:color w:val="525866"/>
          <w:sz w:val="22"/>
        </w:rPr>
        <w:t xml:space="preserve">Key Takeaway: </w:t>
      </w:r>
      <w:r>
        <w:rPr>
          <w:rFonts w:ascii="Calibri" w:hAnsi="Calibri"/>
          <w:color w:val="525866"/>
          <w:sz w:val="22"/>
        </w:rPr>
        <w:t>Q2 2026 peer commentary from JPMorgan, Citigroup, and American Express collectively paints a constructive consumer backdrop — resilient spending, better-than-expected credit, and stable delinquencies — that is directionally positive for SYF. However, applicability is limited by the prime-vs.-near-prime customer gap, and Citi's explicit note of declines in private-label cards is a direct headwind watch item for SYF's core business.</w:t>
      </w:r>
    </w:p>
    <w:p>
      <w:r>
        <w:rPr>
          <w:rFonts w:ascii="Calibri" w:hAnsi="Calibri"/>
          <w:b/>
          <w:color w:val="525866"/>
          <w:sz w:val="22"/>
        </w:rPr>
        <w:t xml:space="preserve">Note: </w:t>
      </w:r>
      <w:r>
        <w:rPr>
          <w:rFonts w:ascii="Calibri" w:hAnsi="Calibri"/>
          <w:i/>
          <w:color w:val="525866"/>
          <w:sz w:val="22"/>
        </w:rPr>
        <w:t>Only commentary explicitly about Q2 2026 (current reporting quarter) is included below. Prior-quarter earnings results and commentary about Q1 2026 performance have been excluded.</w:t>
      </w:r>
    </w:p>
    <w:p>
      <w:pPr>
        <w:pStyle w:val="Heading3"/>
      </w:pPr>
      <w:r>
        <w:rPr>
          <w:rFonts w:ascii="Calibri" w:hAnsi="Calibri"/>
          <w:b/>
          <w:color w:val="3B4259"/>
          <w:sz w:val="24"/>
        </w:rPr>
        <w:t>6.1 JPMorgan Chase (JPM) — Q2 2026 Earnings Call (July 14, 2026)</w:t>
      </w:r>
    </w:p>
    <w:p>
      <w:r>
        <w:rPr>
          <w:rFonts w:ascii="Calibri" w:hAnsi="Calibri"/>
          <w:color w:val="525866"/>
          <w:sz w:val="22"/>
        </w:rPr>
        <w:t>Consumer Spending &amp; Card Volume (Q2 2026 Actuals):</w:t>
      </w:r>
    </w:p>
    <w:p>
      <w:pPr>
        <w:pStyle w:val="ListBullet"/>
        <w:ind w:left="360" w:hanging="360"/>
      </w:pPr>
      <w:r>
        <w:rPr>
          <w:rFonts w:ascii="Calibri" w:hAnsi="Calibri"/>
          <w:color w:val="525866"/>
          <w:sz w:val="22"/>
        </w:rPr>
        <w:t xml:space="preserve">"Consumers and small businesses continue to show resilience despite elevated gas prices and inflation, with higher tax refunds and a solid labor market contributing to </w:t>
      </w:r>
      <w:r>
        <w:rPr>
          <w:rFonts w:ascii="Calibri" w:hAnsi="Calibri"/>
          <w:b/>
          <w:color w:val="525866"/>
          <w:sz w:val="22"/>
        </w:rPr>
        <w:t>strong spend growth</w:t>
      </w:r>
      <w:r>
        <w:rPr>
          <w:rFonts w:ascii="Calibri" w:hAnsi="Calibri"/>
          <w:color w:val="525866"/>
          <w:sz w:val="22"/>
        </w:rPr>
        <w:t>" in banking and wealth management.</w:t>
      </w:r>
    </w:p>
    <w:p>
      <w:pPr>
        <w:pStyle w:val="ListBullet"/>
        <w:ind w:left="360" w:hanging="360"/>
      </w:pPr>
      <w:r>
        <w:rPr>
          <w:rFonts w:ascii="Calibri" w:hAnsi="Calibri"/>
          <w:color w:val="525866"/>
          <w:sz w:val="22"/>
        </w:rPr>
        <w:t xml:space="preserve">Consumer &amp; Community Banking revenue of $20.3B was up 8% YoY, "predominantly driven by </w:t>
      </w:r>
      <w:r>
        <w:rPr>
          <w:rFonts w:ascii="Calibri" w:hAnsi="Calibri"/>
          <w:b/>
          <w:color w:val="525866"/>
          <w:sz w:val="22"/>
        </w:rPr>
        <w:t>higher card NII, largely on higher revolving balances</w:t>
      </w:r>
      <w:r>
        <w:rPr>
          <w:rFonts w:ascii="Calibri" w:hAnsi="Calibri"/>
          <w:color w:val="525866"/>
          <w:sz w:val="22"/>
        </w:rPr>
        <w:t>" — indicating robust consumer credit utilization in Q2.</w:t>
      </w:r>
    </w:p>
    <w:p>
      <w:pPr>
        <w:pStyle w:val="ListBullet"/>
        <w:ind w:left="360" w:hanging="360"/>
      </w:pPr>
      <w:r>
        <w:rPr>
          <w:rFonts w:ascii="Calibri" w:hAnsi="Calibri"/>
          <w:color w:val="525866"/>
          <w:sz w:val="22"/>
        </w:rPr>
        <w:t xml:space="preserve">JPM revised its full-year 2026 card net charge-off rate estimate to </w:t>
      </w:r>
      <w:r>
        <w:rPr>
          <w:rFonts w:ascii="Calibri" w:hAnsi="Calibri"/>
          <w:b/>
          <w:color w:val="525866"/>
          <w:sz w:val="22"/>
        </w:rPr>
        <w:t>approximately 3.2%</w:t>
      </w:r>
      <w:r>
        <w:rPr>
          <w:rFonts w:ascii="Calibri" w:hAnsi="Calibri"/>
          <w:color w:val="525866"/>
          <w:sz w:val="22"/>
        </w:rPr>
        <w:t>, reflecting "better than expected consumer credit performance" in Q2.</w:t>
      </w:r>
    </w:p>
    <w:p>
      <w:pPr>
        <w:pStyle w:val="ListBullet"/>
        <w:ind w:left="360" w:hanging="360"/>
      </w:pPr>
      <w:r>
        <w:rPr>
          <w:rFonts w:ascii="Calibri" w:hAnsi="Calibri"/>
          <w:color w:val="525866"/>
          <w:sz w:val="22"/>
        </w:rPr>
        <w:t>CFO Jeremy Barnum: "</w:t>
      </w:r>
      <w:r>
        <w:rPr>
          <w:rFonts w:ascii="Calibri" w:hAnsi="Calibri"/>
          <w:b/>
          <w:color w:val="525866"/>
          <w:sz w:val="22"/>
        </w:rPr>
        <w:t>Delinquencies are a little lower than we expected</w:t>
      </w:r>
      <w:r>
        <w:rPr>
          <w:rFonts w:ascii="Calibri" w:hAnsi="Calibri"/>
          <w:color w:val="525866"/>
          <w:sz w:val="22"/>
        </w:rPr>
        <w:t>... that's a better performance."</w:t>
      </w:r>
    </w:p>
    <w:p>
      <w:pPr>
        <w:pStyle w:val="ListBullet"/>
        <w:ind w:left="360" w:hanging="360"/>
      </w:pPr>
      <w:r>
        <w:rPr>
          <w:rFonts w:ascii="Calibri" w:hAnsi="Calibri"/>
          <w:color w:val="525866"/>
          <w:sz w:val="22"/>
        </w:rPr>
        <w:t xml:space="preserve">Fed economic heterogeneity data "doesn't give a lot of support to the k-shaped narrative" — suggesting </w:t>
      </w:r>
      <w:r>
        <w:rPr>
          <w:rFonts w:ascii="Calibri" w:hAnsi="Calibri"/>
          <w:b/>
          <w:color w:val="525866"/>
          <w:sz w:val="22"/>
        </w:rPr>
        <w:t>broad-based consumer strength across FICO scores</w:t>
      </w:r>
      <w:r>
        <w:rPr>
          <w:rFonts w:ascii="Calibri" w:hAnsi="Calibri"/>
          <w:color w:val="525866"/>
          <w:sz w:val="22"/>
        </w:rPr>
        <w:t xml:space="preserve"> in Q2.</w:t>
      </w:r>
    </w:p>
    <w:p>
      <w:pPr>
        <w:pStyle w:val="ListBullet"/>
        <w:ind w:left="360" w:hanging="360"/>
      </w:pPr>
      <w:r>
        <w:rPr>
          <w:rFonts w:ascii="Calibri" w:hAnsi="Calibri"/>
          <w:color w:val="525866"/>
          <w:sz w:val="22"/>
        </w:rPr>
        <w:t>CEO Jamie Dimon: "It's getting close to as good as it gets. We just don't know how long it's going to last." — characterizing Q2 as a peak-environment quarter.</w:t>
      </w:r>
    </w:p>
    <w:p>
      <w:r>
        <w:rPr>
          <w:rFonts w:ascii="Calibri" w:hAnsi="Calibri"/>
          <w:b/>
          <w:color w:val="525866"/>
          <w:sz w:val="22"/>
        </w:rPr>
        <w:t>Applicability to SYF — Positive Read-Throughs:</w:t>
      </w:r>
    </w:p>
    <w:p>
      <w:pPr>
        <w:pStyle w:val="ListBullet"/>
        <w:ind w:left="360" w:hanging="360"/>
      </w:pPr>
      <w:r>
        <w:rPr>
          <w:rFonts w:ascii="Calibri" w:hAnsi="Calibri"/>
          <w:color w:val="525866"/>
          <w:sz w:val="22"/>
        </w:rPr>
        <w:t>Strong consumer spending and higher revolving balances at JPM are directionally positive for SYF's purchase volume and loan receivables growth in Q2.</w:t>
      </w:r>
    </w:p>
    <w:p>
      <w:pPr>
        <w:pStyle w:val="ListBullet"/>
        <w:ind w:left="360" w:hanging="360"/>
      </w:pPr>
      <w:r>
        <w:rPr>
          <w:rFonts w:ascii="Calibri" w:hAnsi="Calibri"/>
          <w:color w:val="525866"/>
          <w:sz w:val="22"/>
        </w:rPr>
        <w:t>Better-than-expected credit performance and lower delinquencies at JPM suggest the macro credit environment in Q2 was more benign than feared, which could support SYF's NCO rate coming in at or below the ~5.47% consensus estimate.</w:t>
      </w:r>
    </w:p>
    <w:p>
      <w:pPr>
        <w:pStyle w:val="ListBullet"/>
        <w:ind w:left="360" w:hanging="360"/>
      </w:pPr>
      <w:r>
        <w:rPr>
          <w:rFonts w:ascii="Calibri" w:hAnsi="Calibri"/>
          <w:color w:val="525866"/>
          <w:sz w:val="22"/>
        </w:rPr>
        <w:t>The "no k-shaped narrative" comment is particularly relevant for SYF — if near-prime consumers are also participating in the positive trends, SYF's credit metrics should benefit.</w:t>
      </w:r>
    </w:p>
    <w:p>
      <w:r>
        <w:rPr>
          <w:rFonts w:ascii="Calibri" w:hAnsi="Calibri"/>
          <w:b/>
          <w:color w:val="525866"/>
          <w:sz w:val="22"/>
        </w:rPr>
        <w:t>Limitations &amp; Watch Areas:</w:t>
      </w:r>
    </w:p>
    <w:p>
      <w:pPr>
        <w:pStyle w:val="ListBullet"/>
        <w:ind w:left="360" w:hanging="360"/>
      </w:pPr>
      <w:r>
        <w:rPr>
          <w:rFonts w:ascii="Calibri" w:hAnsi="Calibri"/>
          <w:color w:val="525866"/>
          <w:sz w:val="22"/>
        </w:rPr>
        <w:t>JPM's card portfolio is predominantly prime (higher FICO) — absolute credit metrics (3.2% NCO rate) are not comparable to SYF's ~5.5% range. Directional trends are the relevant read-through, not absolute levels.</w:t>
      </w:r>
    </w:p>
    <w:p>
      <w:pPr>
        <w:pStyle w:val="ListBullet"/>
        <w:ind w:left="360" w:hanging="360"/>
      </w:pPr>
      <w:r>
        <w:rPr>
          <w:rFonts w:ascii="Calibri" w:hAnsi="Calibri"/>
          <w:color w:val="525866"/>
          <w:sz w:val="22"/>
        </w:rPr>
        <w:t>Dimon's "as good as it gets" framing is a caution flag — near-prime consumers (SYF's core) are more vulnerable to any future softening.</w:t>
      </w:r>
    </w:p>
    <w:p>
      <w:pPr>
        <w:pStyle w:val="ListBullet"/>
        <w:ind w:left="360" w:hanging="360"/>
      </w:pPr>
      <w:r>
        <w:rPr>
          <w:rFonts w:ascii="Calibri" w:hAnsi="Calibri"/>
          <w:color w:val="525866"/>
          <w:sz w:val="22"/>
        </w:rPr>
        <w:t>Dimon flagged "a cohort of consumers experiencing negative real wage growth" as a watch area — SYF's near-prime base is more likely to be in this cohort.</w:t>
      </w:r>
    </w:p>
    <w:p>
      <w:pPr>
        <w:pStyle w:val="ListBullet"/>
        <w:ind w:left="360" w:hanging="360"/>
      </w:pPr>
      <w:r>
        <w:rPr>
          <w:rFonts w:ascii="Calibri" w:hAnsi="Calibri"/>
          <w:color w:val="525866"/>
          <w:sz w:val="22"/>
        </w:rPr>
        <w:t>Discussion of potential deposit beta acceleration if rates rise could pressure SYF's funding costs more than diversified banks.</w:t>
      </w:r>
    </w:p>
    <w:p>
      <w:pPr>
        <w:pStyle w:val="Heading3"/>
      </w:pPr>
      <w:r>
        <w:rPr>
          <w:rFonts w:ascii="Calibri" w:hAnsi="Calibri"/>
          <w:b/>
          <w:color w:val="3B4259"/>
          <w:sz w:val="24"/>
        </w:rPr>
        <w:t>6.2 Citigroup (C) — Q2 2026 Earnings Call (July 14, 2026)</w:t>
      </w:r>
    </w:p>
    <w:p>
      <w:r>
        <w:rPr>
          <w:rFonts w:ascii="Calibri" w:hAnsi="Calibri"/>
          <w:color w:val="525866"/>
          <w:sz w:val="22"/>
        </w:rPr>
        <w:t>Consumer Spending &amp; Card Volume (Q2 2026 Actuals):</w:t>
      </w:r>
    </w:p>
    <w:p>
      <w:pPr>
        <w:pStyle w:val="ListBullet"/>
        <w:ind w:left="360" w:hanging="360"/>
      </w:pPr>
      <w:r>
        <w:rPr>
          <w:rFonts w:ascii="Calibri" w:hAnsi="Calibri"/>
          <w:color w:val="525866"/>
          <w:sz w:val="22"/>
        </w:rPr>
        <w:t xml:space="preserve">US Consumer Cards: "general purpose card acquisitions up 135%, spend volume up 12% and average loans up 8%, </w:t>
      </w:r>
      <w:r>
        <w:rPr>
          <w:rFonts w:ascii="Calibri" w:hAnsi="Calibri"/>
          <w:b/>
          <w:color w:val="525866"/>
          <w:sz w:val="22"/>
        </w:rPr>
        <w:t>partially offset by declines in private label cards</w:t>
      </w:r>
      <w:r>
        <w:rPr>
          <w:rFonts w:ascii="Calibri" w:hAnsi="Calibri"/>
          <w:color w:val="525866"/>
          <w:sz w:val="22"/>
        </w:rPr>
        <w:t>."</w:t>
      </w:r>
    </w:p>
    <w:p>
      <w:pPr>
        <w:pStyle w:val="ListBullet"/>
        <w:ind w:left="360" w:hanging="360"/>
      </w:pPr>
      <w:r>
        <w:rPr>
          <w:rFonts w:ascii="Calibri" w:hAnsi="Calibri"/>
          <w:color w:val="525866"/>
          <w:sz w:val="22"/>
        </w:rPr>
        <w:t>CFO Gonzalo Luchetti: "The US consumer has been resilient... even if you take out the Barclays American Airlines book this quarter, you still see 6–7% [spend growth]... that's very healthy."</w:t>
      </w:r>
    </w:p>
    <w:p>
      <w:pPr>
        <w:pStyle w:val="ListBullet"/>
        <w:ind w:left="360" w:hanging="360"/>
      </w:pPr>
      <w:r>
        <w:rPr>
          <w:rFonts w:ascii="Calibri" w:hAnsi="Calibri"/>
          <w:color w:val="525866"/>
          <w:sz w:val="22"/>
        </w:rPr>
        <w:t xml:space="preserve">Citi's US Consumer Cards cost of credit was $1.6B, comprising $1.9B net credit losses and a </w:t>
      </w:r>
      <w:r>
        <w:rPr>
          <w:rFonts w:ascii="Calibri" w:hAnsi="Calibri"/>
          <w:b/>
          <w:color w:val="525866"/>
          <w:sz w:val="22"/>
        </w:rPr>
        <w:t>net ACL release of $132M</w:t>
      </w:r>
      <w:r>
        <w:rPr>
          <w:rFonts w:ascii="Calibri" w:hAnsi="Calibri"/>
          <w:color w:val="525866"/>
          <w:sz w:val="22"/>
        </w:rPr>
        <w:t xml:space="preserve"> — driven by improved portfolio quality and seasonal changes.</w:t>
      </w:r>
    </w:p>
    <w:p>
      <w:pPr>
        <w:pStyle w:val="ListBullet"/>
        <w:ind w:left="360" w:hanging="360"/>
      </w:pPr>
      <w:r>
        <w:rPr>
          <w:rFonts w:ascii="Calibri" w:hAnsi="Calibri"/>
          <w:color w:val="525866"/>
          <w:sz w:val="22"/>
        </w:rPr>
        <w:t xml:space="preserve">Full-year 2026 US credit cards NCO rate expected </w:t>
      </w:r>
      <w:r>
        <w:rPr>
          <w:rFonts w:ascii="Calibri" w:hAnsi="Calibri"/>
          <w:b/>
          <w:color w:val="525866"/>
          <w:sz w:val="22"/>
        </w:rPr>
        <w:t>between 4.0–4.5%</w:t>
      </w:r>
      <w:r>
        <w:rPr>
          <w:rFonts w:ascii="Calibri" w:hAnsi="Calibri"/>
          <w:color w:val="525866"/>
          <w:sz w:val="22"/>
        </w:rPr>
        <w:t xml:space="preserve"> — "a lower range than we've had in the past, reflecting how we're seeing the environment."</w:t>
      </w:r>
    </w:p>
    <w:p>
      <w:pPr>
        <w:pStyle w:val="ListBullet"/>
        <w:ind w:left="360" w:hanging="360"/>
      </w:pPr>
      <w:r>
        <w:rPr>
          <w:rFonts w:ascii="Calibri" w:hAnsi="Calibri"/>
          <w:color w:val="525866"/>
          <w:sz w:val="22"/>
        </w:rPr>
        <w:t>CEO Jane Fraser: "The conflict in the Middle East has weighed a bit on global growth, whilst giving inflation a second wind in the US. Growth is roughly where it was a year ago, and the labour market remains stable."</w:t>
      </w:r>
    </w:p>
    <w:p>
      <w:pPr>
        <w:pStyle w:val="ListBullet"/>
        <w:ind w:left="360" w:hanging="360"/>
      </w:pPr>
      <w:r>
        <w:rPr>
          <w:rFonts w:ascii="Calibri" w:hAnsi="Calibri"/>
          <w:color w:val="525866"/>
          <w:sz w:val="22"/>
        </w:rPr>
        <w:t>Luchetti described the environment as "constructive" with "a pocket of uncertainty" around inflation, wages, savings rate, and unemployment.</w:t>
      </w:r>
    </w:p>
    <w:p>
      <w:r>
        <w:rPr>
          <w:rFonts w:ascii="Calibri" w:hAnsi="Calibri"/>
          <w:b/>
          <w:color w:val="525866"/>
          <w:sz w:val="22"/>
        </w:rPr>
        <w:t>Applicability to SYF — Positive Read-Throughs:</w:t>
      </w:r>
    </w:p>
    <w:p>
      <w:pPr>
        <w:pStyle w:val="ListBullet"/>
        <w:ind w:left="360" w:hanging="360"/>
      </w:pPr>
      <w:r>
        <w:rPr>
          <w:rFonts w:ascii="Calibri" w:hAnsi="Calibri"/>
          <w:color w:val="525866"/>
          <w:sz w:val="22"/>
        </w:rPr>
        <w:t>Healthy spend volume growth (6–7% ex-Barclays/gas) and year-on-year declines in delinquency and credit losses are broadly positive for SYF's Q2 purchase volume and credit metrics.</w:t>
      </w:r>
    </w:p>
    <w:p>
      <w:pPr>
        <w:pStyle w:val="ListBullet"/>
        <w:ind w:left="360" w:hanging="360"/>
      </w:pPr>
      <w:r>
        <w:rPr>
          <w:rFonts w:ascii="Calibri" w:hAnsi="Calibri"/>
          <w:color w:val="525866"/>
          <w:sz w:val="22"/>
        </w:rPr>
        <w:t>The ACL release at Citi's US Consumer Cards suggests the credit environment in Q2 was better than modeled — a potential positive signal for SYF's reserve dynamics.</w:t>
      </w:r>
    </w:p>
    <w:p>
      <w:pPr>
        <w:pStyle w:val="ListBullet"/>
        <w:ind w:left="360" w:hanging="360"/>
      </w:pPr>
      <w:r>
        <w:rPr>
          <w:rFonts w:ascii="Calibri" w:hAnsi="Calibri"/>
          <w:color w:val="525866"/>
          <w:sz w:val="22"/>
        </w:rPr>
        <w:t>Stable labor market and "constructive" macro environment support SYF's near-prime consumer base.</w:t>
      </w:r>
    </w:p>
    <w:p>
      <w:r>
        <w:rPr>
          <w:rFonts w:ascii="Calibri" w:hAnsi="Calibri"/>
          <w:b/>
          <w:color w:val="525866"/>
          <w:sz w:val="22"/>
        </w:rPr>
        <w:t>Limitations &amp; Watch Areas:</w:t>
      </w:r>
    </w:p>
    <w:p>
      <w:pPr>
        <w:pStyle w:val="ListBullet"/>
        <w:ind w:left="360" w:hanging="360"/>
      </w:pPr>
      <w:r>
        <w:rPr>
          <w:rFonts w:ascii="Calibri" w:hAnsi="Calibri"/>
          <w:color w:val="525866"/>
          <w:sz w:val="22"/>
        </w:rPr>
        <w:t xml:space="preserve">The explicit mention of </w:t>
      </w:r>
      <w:r>
        <w:rPr>
          <w:rFonts w:ascii="Calibri" w:hAnsi="Calibri"/>
          <w:b/>
          <w:color w:val="525866"/>
          <w:sz w:val="22"/>
        </w:rPr>
        <w:t>"declines in private label cards"</w:t>
      </w:r>
      <w:r>
        <w:rPr>
          <w:rFonts w:ascii="Calibri" w:hAnsi="Calibri"/>
          <w:color w:val="525866"/>
          <w:sz w:val="22"/>
        </w:rPr>
        <w:t xml:space="preserve"> at Citi is a direct negative read-through for SYF, whose entire business is private-label and co-brand. This suggests the private-label segment may be losing share to general-purpose cards industry-wide.</w:t>
      </w:r>
    </w:p>
    <w:p>
      <w:pPr>
        <w:pStyle w:val="ListBullet"/>
        <w:ind w:left="360" w:hanging="360"/>
      </w:pPr>
      <w:r>
        <w:rPr>
          <w:rFonts w:ascii="Calibri" w:hAnsi="Calibri"/>
          <w:color w:val="525866"/>
          <w:sz w:val="22"/>
        </w:rPr>
        <w:t>Citi's strategy is explicitly shifting toward general-purpose cards (84% of book vs. 82% at year-end 2025) and exiting private-label relationships that don't meet return targets — this competitive dynamic could affect SYF's partnership pipeline.</w:t>
      </w:r>
    </w:p>
    <w:p>
      <w:pPr>
        <w:pStyle w:val="ListBullet"/>
        <w:ind w:left="360" w:hanging="360"/>
      </w:pPr>
      <w:r>
        <w:rPr>
          <w:rFonts w:ascii="Calibri" w:hAnsi="Calibri"/>
          <w:color w:val="525866"/>
          <w:sz w:val="22"/>
        </w:rPr>
        <w:t>Citi's NCO rate (4.0–4.5%) is not comparable to SYF's (~5.5%) due to the prime vs. near-prime customer mix difference.</w:t>
      </w:r>
    </w:p>
    <w:p>
      <w:pPr>
        <w:pStyle w:val="ListBullet"/>
        <w:ind w:left="360" w:hanging="360"/>
      </w:pPr>
      <w:r>
        <w:rPr>
          <w:rFonts w:ascii="Calibri" w:hAnsi="Calibri"/>
          <w:color w:val="525866"/>
          <w:sz w:val="22"/>
        </w:rPr>
        <w:t>"Inflation a second wind" and "higher for longer" rate environment could disproportionately affect SYF's near-prime customers vs. Citi's prime base.</w:t>
      </w:r>
    </w:p>
    <w:p>
      <w:pPr>
        <w:pStyle w:val="Heading3"/>
      </w:pPr>
      <w:r>
        <w:rPr>
          <w:rFonts w:ascii="Calibri" w:hAnsi="Calibri"/>
          <w:b/>
          <w:color w:val="3B4259"/>
          <w:sz w:val="24"/>
        </w:rPr>
        <w:t>6.3 American Express (AXP) — June 2026 Monthly Credit Statistics (8-K, July 15, 2026)</w:t>
      </w:r>
    </w:p>
    <w:p>
      <w:r>
        <w:rPr>
          <w:rFonts w:ascii="Calibri" w:hAnsi="Calibri"/>
          <w:color w:val="525866"/>
          <w:sz w:val="22"/>
        </w:rPr>
        <w:t>Credit Data for Q2 2026 (April–June 2026):</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April 30, 2026</w:t>
            </w:r>
          </w:p>
        </w:tc>
        <w:tc>
          <w:tcPr>
            <w:tcW w:type="dxa" w:w="1728"/>
            <w:shd w:val="clear" w:color="auto" w:fill="3B4259"/>
          </w:tcPr>
          <w:p>
            <w:r>
              <w:rPr>
                <w:rFonts w:ascii="Calibri" w:hAnsi="Calibri"/>
                <w:b/>
                <w:color w:val="FFFFFF"/>
                <w:sz w:val="22"/>
              </w:rPr>
              <w:t>May 31, 2026</w:t>
            </w:r>
          </w:p>
        </w:tc>
        <w:tc>
          <w:tcPr>
            <w:tcW w:type="dxa" w:w="1728"/>
            <w:shd w:val="clear" w:color="auto" w:fill="3B4259"/>
          </w:tcPr>
          <w:p>
            <w:r>
              <w:rPr>
                <w:rFonts w:ascii="Calibri" w:hAnsi="Calibri"/>
                <w:b/>
                <w:color w:val="FFFFFF"/>
                <w:sz w:val="22"/>
              </w:rPr>
              <w:t>June 30, 2026</w:t>
            </w:r>
          </w:p>
        </w:tc>
        <w:tc>
          <w:tcPr>
            <w:tcW w:type="dxa" w:w="1728"/>
            <w:shd w:val="clear" w:color="auto" w:fill="3B4259"/>
          </w:tcPr>
          <w:p>
            <w:r>
              <w:rPr>
                <w:rFonts w:ascii="Calibri" w:hAnsi="Calibri"/>
                <w:b/>
                <w:color w:val="FFFFFF"/>
                <w:sz w:val="22"/>
              </w:rPr>
              <w:t>Q2 2026 Avg.</w:t>
            </w:r>
          </w:p>
        </w:tc>
      </w:tr>
      <w:tr>
        <w:tc>
          <w:tcPr>
            <w:tcW w:type="dxa" w:w="1728"/>
          </w:tcPr>
          <w:p>
            <w:r>
              <w:rPr>
                <w:rFonts w:ascii="Calibri" w:hAnsi="Calibri"/>
                <w:sz w:val="22"/>
              </w:rPr>
              <w:t>US Consumer 30+ Day Delinquency Rate</w:t>
            </w:r>
          </w:p>
        </w:tc>
        <w:tc>
          <w:tcPr>
            <w:tcW w:type="dxa" w:w="1728"/>
          </w:tcPr>
          <w:p>
            <w:r>
              <w:rPr>
                <w:rFonts w:ascii="Calibri" w:hAnsi="Calibri"/>
                <w:sz w:val="22"/>
              </w:rPr>
              <w:t>1.2%</w:t>
            </w:r>
          </w:p>
        </w:tc>
        <w:tc>
          <w:tcPr>
            <w:tcW w:type="dxa" w:w="1728"/>
          </w:tcPr>
          <w:p>
            <w:r>
              <w:rPr>
                <w:rFonts w:ascii="Calibri" w:hAnsi="Calibri"/>
                <w:sz w:val="22"/>
              </w:rPr>
              <w:t>1.1%</w:t>
            </w:r>
          </w:p>
        </w:tc>
        <w:tc>
          <w:tcPr>
            <w:tcW w:type="dxa" w:w="1728"/>
          </w:tcPr>
          <w:p>
            <w:r>
              <w:rPr>
                <w:rFonts w:ascii="Calibri" w:hAnsi="Calibri"/>
                <w:sz w:val="22"/>
              </w:rPr>
              <w:t>1.1%</w:t>
            </w:r>
          </w:p>
        </w:tc>
        <w:tc>
          <w:tcPr>
            <w:tcW w:type="dxa" w:w="1728"/>
          </w:tcPr>
          <w:p>
            <w:r>
              <w:rPr>
                <w:rFonts w:ascii="Calibri" w:hAnsi="Calibri"/>
                <w:sz w:val="22"/>
              </w:rPr>
              <w:t>1.1%</w:t>
            </w:r>
          </w:p>
        </w:tc>
      </w:tr>
      <w:tr>
        <w:tc>
          <w:tcPr>
            <w:tcW w:type="dxa" w:w="1728"/>
          </w:tcPr>
          <w:p>
            <w:r>
              <w:rPr>
                <w:rFonts w:ascii="Calibri" w:hAnsi="Calibri"/>
                <w:sz w:val="22"/>
              </w:rPr>
              <w:t>US Consumer Net Write-Off Rate (principal only)</w:t>
            </w:r>
          </w:p>
        </w:tc>
        <w:tc>
          <w:tcPr>
            <w:tcW w:type="dxa" w:w="1728"/>
          </w:tcPr>
          <w:p>
            <w:r>
              <w:rPr>
                <w:rFonts w:ascii="Calibri" w:hAnsi="Calibri"/>
                <w:sz w:val="22"/>
              </w:rPr>
              <w:t>N/A (monthly)</w:t>
            </w:r>
          </w:p>
        </w:tc>
        <w:tc>
          <w:tcPr>
            <w:tcW w:type="dxa" w:w="1728"/>
          </w:tcPr>
          <w:p>
            <w:r>
              <w:rPr>
                <w:rFonts w:ascii="Calibri" w:hAnsi="Calibri"/>
                <w:sz w:val="22"/>
              </w:rPr>
              <w:t>N/A (monthly)</w:t>
            </w:r>
          </w:p>
        </w:tc>
        <w:tc>
          <w:tcPr>
            <w:tcW w:type="dxa" w:w="1728"/>
          </w:tcPr>
          <w:p>
            <w:r>
              <w:rPr>
                <w:rFonts w:ascii="Calibri" w:hAnsi="Calibri"/>
                <w:sz w:val="22"/>
              </w:rPr>
              <w:t>1.4%*</w:t>
            </w:r>
          </w:p>
        </w:tc>
        <w:tc>
          <w:tcPr>
            <w:tcW w:type="dxa" w:w="1728"/>
          </w:tcPr>
          <w:p>
            <w:r>
              <w:rPr>
                <w:rFonts w:ascii="Calibri" w:hAnsi="Calibri"/>
                <w:sz w:val="22"/>
              </w:rPr>
              <w:t>1.8% (Q2 avg.)</w:t>
            </w:r>
          </w:p>
        </w:tc>
      </w:tr>
      <w:tr>
        <w:tc>
          <w:tcPr>
            <w:tcW w:type="dxa" w:w="1728"/>
          </w:tcPr>
          <w:p>
            <w:r>
              <w:rPr>
                <w:rFonts w:ascii="Calibri" w:hAnsi="Calibri"/>
                <w:sz w:val="22"/>
              </w:rPr>
              <w:t>US Small Business 30+ Day Delinquency Rate</w:t>
            </w:r>
          </w:p>
        </w:tc>
        <w:tc>
          <w:tcPr>
            <w:tcW w:type="dxa" w:w="1728"/>
          </w:tcPr>
          <w:p>
            <w:r>
              <w:rPr>
                <w:rFonts w:ascii="Calibri" w:hAnsi="Calibri"/>
                <w:sz w:val="22"/>
              </w:rPr>
              <w:t>1.5%</w:t>
            </w:r>
          </w:p>
        </w:tc>
        <w:tc>
          <w:tcPr>
            <w:tcW w:type="dxa" w:w="1728"/>
          </w:tcPr>
          <w:p>
            <w:r>
              <w:rPr>
                <w:rFonts w:ascii="Calibri" w:hAnsi="Calibri"/>
                <w:sz w:val="22"/>
              </w:rPr>
              <w:t>1.4%</w:t>
            </w:r>
          </w:p>
        </w:tc>
        <w:tc>
          <w:tcPr>
            <w:tcW w:type="dxa" w:w="1728"/>
          </w:tcPr>
          <w:p>
            <w:r>
              <w:rPr>
                <w:rFonts w:ascii="Calibri" w:hAnsi="Calibri"/>
                <w:sz w:val="22"/>
              </w:rPr>
              <w:t>1.4%</w:t>
            </w:r>
          </w:p>
        </w:tc>
        <w:tc>
          <w:tcPr>
            <w:tcW w:type="dxa" w:w="1728"/>
          </w:tcPr>
          <w:p>
            <w:r>
              <w:rPr>
                <w:rFonts w:ascii="Calibri" w:hAnsi="Calibri"/>
                <w:sz w:val="22"/>
              </w:rPr>
              <w:t>1.4%</w:t>
            </w:r>
          </w:p>
        </w:tc>
      </w:tr>
      <w:tr>
        <w:tc>
          <w:tcPr>
            <w:tcW w:type="dxa" w:w="1728"/>
          </w:tcPr>
          <w:p>
            <w:r>
              <w:rPr>
                <w:rFonts w:ascii="Calibri" w:hAnsi="Calibri"/>
                <w:sz w:val="22"/>
              </w:rPr>
              <w:t>US Small Business Net Write-Off Rate</w:t>
            </w:r>
          </w:p>
        </w:tc>
        <w:tc>
          <w:tcPr>
            <w:tcW w:type="dxa" w:w="1728"/>
          </w:tcPr>
          <w:p>
            <w:r>
              <w:rPr>
                <w:rFonts w:ascii="Calibri" w:hAnsi="Calibri"/>
                <w:sz w:val="22"/>
              </w:rPr>
              <w:t>N/A (monthly)</w:t>
            </w:r>
          </w:p>
        </w:tc>
        <w:tc>
          <w:tcPr>
            <w:tcW w:type="dxa" w:w="1728"/>
          </w:tcPr>
          <w:p>
            <w:r>
              <w:rPr>
                <w:rFonts w:ascii="Calibri" w:hAnsi="Calibri"/>
                <w:sz w:val="22"/>
              </w:rPr>
              <w:t>N/A (monthly)</w:t>
            </w:r>
          </w:p>
        </w:tc>
        <w:tc>
          <w:tcPr>
            <w:tcW w:type="dxa" w:w="1728"/>
          </w:tcPr>
          <w:p>
            <w:r>
              <w:rPr>
                <w:rFonts w:ascii="Calibri" w:hAnsi="Calibri"/>
                <w:sz w:val="22"/>
              </w:rPr>
              <w:t>2.3%*</w:t>
            </w:r>
          </w:p>
        </w:tc>
        <w:tc>
          <w:tcPr>
            <w:tcW w:type="dxa" w:w="1728"/>
          </w:tcPr>
          <w:p>
            <w:r>
              <w:rPr>
                <w:rFonts w:ascii="Calibri" w:hAnsi="Calibri"/>
                <w:sz w:val="22"/>
              </w:rPr>
              <w:t>2.4% (Q2 avg.)</w:t>
            </w:r>
          </w:p>
        </w:tc>
      </w:tr>
    </w:tbl>
    <w:p>
      <w:r>
        <w:rPr>
          <w:rFonts w:ascii="Calibri" w:hAnsi="Calibri"/>
          <w:i/>
          <w:color w:val="525866"/>
          <w:sz w:val="22"/>
        </w:rPr>
        <w:t>* June 2026 net write-off rates were reduced by a sale of previously written-off card balances: US Consumer reduced by ~0.3%, US Small Business by ~0.1%. Underlying June rates (ex-sale) were approximately 1.7% and 2.4%, respectively.</w:t>
      </w:r>
    </w:p>
    <w:p>
      <w:r>
        <w:rPr>
          <w:rFonts w:ascii="Calibri" w:hAnsi="Calibri"/>
          <w:b/>
          <w:color w:val="525866"/>
          <w:sz w:val="22"/>
        </w:rPr>
        <w:t>Applicability to SYF — Positive Read-Throughs:</w:t>
      </w:r>
    </w:p>
    <w:p>
      <w:pPr>
        <w:pStyle w:val="ListBullet"/>
        <w:ind w:left="360" w:hanging="360"/>
      </w:pPr>
      <w:r>
        <w:rPr>
          <w:rFonts w:ascii="Calibri" w:hAnsi="Calibri"/>
          <w:color w:val="525866"/>
          <w:sz w:val="22"/>
        </w:rPr>
        <w:t>AXP's US Consumer 30+ delinquency rate was stable-to-improving across Q2 (1.2% → 1.1%), suggesting the credit environment did not deteriorate in Q2 2026.</w:t>
      </w:r>
    </w:p>
    <w:p>
      <w:pPr>
        <w:pStyle w:val="ListBullet"/>
        <w:ind w:left="360" w:hanging="360"/>
      </w:pPr>
      <w:r>
        <w:rPr>
          <w:rFonts w:ascii="Calibri" w:hAnsi="Calibri"/>
          <w:color w:val="525866"/>
          <w:sz w:val="22"/>
        </w:rPr>
        <w:t>Stable write-off rates (with the asset-sale caveat) indicate no unexpected credit deterioration in Q2 — directionally positive for SYF's NCO trajectory.</w:t>
      </w:r>
    </w:p>
    <w:p>
      <w:r>
        <w:rPr>
          <w:rFonts w:ascii="Calibri" w:hAnsi="Calibri"/>
          <w:b/>
          <w:color w:val="525866"/>
          <w:sz w:val="22"/>
        </w:rPr>
        <w:t>Limitations &amp; Watch Areas:</w:t>
      </w:r>
    </w:p>
    <w:p>
      <w:pPr>
        <w:pStyle w:val="ListBullet"/>
        <w:ind w:left="360" w:hanging="360"/>
      </w:pPr>
      <w:r>
        <w:rPr>
          <w:rFonts w:ascii="Calibri" w:hAnsi="Calibri"/>
          <w:color w:val="525866"/>
          <w:sz w:val="22"/>
        </w:rPr>
        <w:t>AXP serves a predominantly prime/affluent customer base — absolute delinquency (1.1%) and write-off rates (1.8%) are not comparable to SYF's near-prime portfolio (~4.3% 30+ delinquency, ~5.5% NCO rate). Only directional trends are relevant.</w:t>
      </w:r>
    </w:p>
    <w:p>
      <w:pPr>
        <w:pStyle w:val="ListBullet"/>
        <w:ind w:left="360" w:hanging="360"/>
      </w:pPr>
      <w:r>
        <w:rPr>
          <w:rFonts w:ascii="Calibri" w:hAnsi="Calibri"/>
          <w:color w:val="525866"/>
          <w:sz w:val="22"/>
        </w:rPr>
        <w:t>The June 2026 asset sale artificially reduced AXP's reported write-off rates — the underlying trend is slightly worse than the headline numbers suggest.</w:t>
      </w:r>
    </w:p>
    <w:p>
      <w:pPr>
        <w:pStyle w:val="ListBullet"/>
        <w:ind w:left="360" w:hanging="360"/>
      </w:pPr>
      <w:r>
        <w:rPr>
          <w:rFonts w:ascii="Calibri" w:hAnsi="Calibri"/>
          <w:color w:val="525866"/>
          <w:sz w:val="22"/>
        </w:rPr>
        <w:t>AXP's portfolio is heavily weighted toward charge/pay-in-full cards, which behave differently from SYF's revolving private-label credit cards.</w:t>
      </w:r>
    </w:p>
    <w:p>
      <w:r>
        <w:rPr>
          <w:rFonts w:ascii="Calibri" w:hAnsi="Calibri"/>
          <w:i/>
          <w:color w:val="525866"/>
          <w:sz w:val="22"/>
        </w:rPr>
        <w:t>Source: AXP 8-K filed July 15, 2026 (June 2026 Monthly Credit Statistics).</w:t>
      </w:r>
    </w:p>
    <w:p>
      <w:pPr>
        <w:pStyle w:val="Heading3"/>
      </w:pPr>
      <w:r>
        <w:rPr>
          <w:rFonts w:ascii="Calibri" w:hAnsi="Calibri"/>
          <w:b/>
          <w:color w:val="3B4259"/>
          <w:sz w:val="24"/>
        </w:rPr>
        <w:t>6.4 Meredith Whitney — Consumer Health Commentary (June 1, 2026)</w:t>
      </w:r>
    </w:p>
    <w:p>
      <w:pPr>
        <w:pStyle w:val="ListBullet"/>
        <w:ind w:left="360" w:hanging="360"/>
      </w:pPr>
      <w:r>
        <w:rPr>
          <w:rFonts w:ascii="Calibri" w:hAnsi="Calibri"/>
          <w:color w:val="525866"/>
          <w:sz w:val="22"/>
        </w:rPr>
        <w:t xml:space="preserve">Meredith Whitney offered insights on market resilience, predicting elevated prices and highlighting a </w:t>
      </w:r>
      <w:r>
        <w:rPr>
          <w:rFonts w:ascii="Calibri" w:hAnsi="Calibri"/>
          <w:b/>
          <w:color w:val="525866"/>
          <w:sz w:val="22"/>
        </w:rPr>
        <w:t>bifurcated consumer landscape</w:t>
      </w:r>
      <w:r>
        <w:rPr>
          <w:rFonts w:ascii="Calibri" w:hAnsi="Calibri"/>
          <w:color w:val="525866"/>
          <w:sz w:val="22"/>
        </w:rPr>
        <w:t xml:space="preserve"> where lower-income households increasingly rely on shadow banking, while overall credit quality remains strong.</w:t>
      </w:r>
    </w:p>
    <w:p>
      <w:pPr>
        <w:pStyle w:val="ListBullet"/>
        <w:ind w:left="360" w:hanging="360"/>
      </w:pPr>
      <w:r>
        <w:rPr>
          <w:rFonts w:ascii="Calibri" w:hAnsi="Calibri"/>
          <w:color w:val="525866"/>
          <w:sz w:val="22"/>
        </w:rPr>
        <w:t>This bifurcation commentary is directly relevant to SYF: while aggregate credit metrics look healthy, the lower-income/near-prime segment (SYF's core) may be experiencing more stress than headline numbers suggest.</w:t>
      </w:r>
    </w:p>
    <w:p>
      <w:pPr>
        <w:pStyle w:val="Heading3"/>
      </w:pPr>
      <w:r>
        <w:rPr>
          <w:rFonts w:ascii="Calibri" w:hAnsi="Calibri"/>
          <w:b/>
          <w:color w:val="3B4259"/>
          <w:sz w:val="24"/>
        </w:rPr>
        <w:t>6.5 Macro Read-Through: US Consumer Credit Environment (Q2 2026)</w:t>
      </w:r>
    </w:p>
    <w:p>
      <w:pPr>
        <w:pStyle w:val="ListBullet"/>
        <w:ind w:left="360" w:hanging="360"/>
      </w:pPr>
      <w:r>
        <w:rPr>
          <w:rFonts w:ascii="Calibri" w:hAnsi="Calibri"/>
          <w:color w:val="525866"/>
          <w:sz w:val="22"/>
        </w:rPr>
        <w:t xml:space="preserve">US CPI for June 2026 came in softer than expected (consumer prices fell 0.4% MoM), reducing near-term rate hike fears — </w:t>
      </w:r>
      <w:r>
        <w:rPr>
          <w:rFonts w:ascii="Calibri" w:hAnsi="Calibri"/>
          <w:b/>
          <w:color w:val="525866"/>
          <w:sz w:val="22"/>
        </w:rPr>
        <w:t>positive for SYF's funding costs and consumer payment capacity</w:t>
      </w:r>
      <w:r>
        <w:rPr>
          <w:rFonts w:ascii="Calibri" w:hAnsi="Calibri"/>
          <w:color w:val="525866"/>
          <w:sz w:val="22"/>
        </w:rPr>
        <w:t>.</w:t>
      </w:r>
    </w:p>
    <w:p>
      <w:pPr>
        <w:pStyle w:val="ListBullet"/>
        <w:ind w:left="360" w:hanging="360"/>
      </w:pPr>
      <w:r>
        <w:rPr>
          <w:rFonts w:ascii="Calibri" w:hAnsi="Calibri"/>
          <w:color w:val="525866"/>
          <w:sz w:val="22"/>
        </w:rPr>
        <w:t>Labor market remained "surprisingly resilient" (JPM's Dimon) through Q2 — the key buffer preventing consumer credit deterioration and directly relevant to SYF's near-prime base.</w:t>
      </w:r>
    </w:p>
    <w:p>
      <w:pPr>
        <w:pStyle w:val="ListBullet"/>
        <w:ind w:left="360" w:hanging="360"/>
      </w:pPr>
      <w:r>
        <w:rPr>
          <w:rFonts w:ascii="Calibri" w:hAnsi="Calibri"/>
          <w:color w:val="525866"/>
          <w:sz w:val="22"/>
        </w:rPr>
        <w:t>Gas prices elevated in Q2 (SYF noted average gas transaction value up 17% sequentially in March) — management's watch period for behavioral impact is end of September/October 2026, not Q2.</w:t>
      </w:r>
    </w:p>
    <w:p>
      <w:pPr>
        <w:pStyle w:val="ListBullet"/>
        <w:ind w:left="360" w:hanging="360"/>
      </w:pPr>
      <w:r>
        <w:rPr>
          <w:rFonts w:ascii="Calibri" w:hAnsi="Calibri"/>
          <w:color w:val="525866"/>
          <w:sz w:val="22"/>
        </w:rPr>
        <w:t>US households carry a record $19 trillion in debt; BNPL delinquency stress noted in media — a watch item for SYF's lower-credit-spectrum customers, though management has not flagged near-term deterioration.</w:t>
      </w:r>
    </w:p>
    <w:p>
      <w:r>
        <w:rPr>
          <w:rFonts w:ascii="Calibri" w:hAnsi="Calibri"/>
          <w:b/>
          <w:color w:val="525866"/>
          <w:sz w:val="22"/>
        </w:rPr>
        <w:t>Overall Peer Read-Through Summary:</w:t>
      </w:r>
      <w:r>
        <w:rPr>
          <w:rFonts w:ascii="Calibri" w:hAnsi="Calibri"/>
          <w:color w:val="525866"/>
          <w:sz w:val="22"/>
        </w:rPr>
        <w:t xml:space="preserve"> The Q2 2026 peer data collectively supports a constructive credit environment for SYF's print. The key risk is the private-label-specific headwind flagged by Citi, which could weigh on SYF's purchase volume growth even if the macro backdrop is benign. The credit quality read-through (lower delinquencies, better-than-expected NCOs at JPM and Citi) is the most directly actionable positive signal for SYF's Q2 NCO rate.</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June 29 executive leadership reshuffling, which signals accelerated AI/digital investment and positions SYF for the next phase of growth. The June preferred stock issuance and the monthly credit data (April 8-K) showing improving delinquencies are the other key items.</w:t>
      </w:r>
    </w:p>
    <w:p>
      <w:pPr>
        <w:pStyle w:val="ListBullet"/>
        <w:ind w:left="360" w:hanging="360"/>
      </w:pPr>
      <w:r>
        <w:rPr>
          <w:rFonts w:ascii="Calibri" w:hAnsi="Calibri"/>
          <w:b/>
          <w:color w:val="525866"/>
          <w:sz w:val="22"/>
        </w:rPr>
        <w:t xml:space="preserve">June 29, 2026 — Executive Leadership Reshuffling (8-K): </w:t>
      </w:r>
      <w:r>
        <w:rPr>
          <w:rFonts w:ascii="Calibri" w:hAnsi="Calibri"/>
          <w:color w:val="525866"/>
          <w:sz w:val="22"/>
        </w:rPr>
        <w:t xml:space="preserve">Carol Juel named EVP &amp; CEO of Digital Platform (succeeding retiring Bart Schaller after 35-year career); Florin Arghirescu promoted to EVP &amp; CTO; DJ Casto expanded to EVP, Chief People &amp; Operations Officer. CEO Brian Doubles: "These leaders will help us... accelerate AI adoption, advance emerging areas like agentic commerce." </w:t>
      </w:r>
      <w:r>
        <w:rPr>
          <w:rFonts w:ascii="Calibri" w:hAnsi="Calibri"/>
          <w:b/>
          <w:color w:val="525866"/>
          <w:sz w:val="22"/>
        </w:rPr>
        <w:t xml:space="preserve">Implication: </w:t>
      </w:r>
      <w:r>
        <w:rPr>
          <w:rFonts w:ascii="Calibri" w:hAnsi="Calibri"/>
          <w:color w:val="525866"/>
          <w:sz w:val="22"/>
        </w:rPr>
        <w:t>Signals SYF is doubling down on AI/digital as a competitive differentiator; no financial guidance impact but strategically important for the long-term growth narrative.</w:t>
      </w:r>
    </w:p>
    <w:p>
      <w:pPr>
        <w:pStyle w:val="ListBullet"/>
        <w:ind w:left="360" w:hanging="360"/>
      </w:pPr>
      <w:r>
        <w:rPr>
          <w:rFonts w:ascii="Calibri" w:hAnsi="Calibri"/>
          <w:b/>
          <w:color w:val="525866"/>
          <w:sz w:val="22"/>
        </w:rPr>
        <w:t xml:space="preserve">June 25, 2026 — Annual Shareholder Meeting (8-K): </w:t>
      </w:r>
      <w:r>
        <w:rPr>
          <w:rFonts w:ascii="Calibri" w:hAnsi="Calibri"/>
          <w:color w:val="525866"/>
          <w:sz w:val="22"/>
        </w:rPr>
        <w:t>Directors elected, auditor ratified, executive pay approved. Routine; no material financial developments.</w:t>
      </w:r>
    </w:p>
    <w:p>
      <w:pPr>
        <w:pStyle w:val="ListBullet"/>
        <w:ind w:left="360" w:hanging="360"/>
      </w:pPr>
      <w:r>
        <w:rPr>
          <w:rFonts w:ascii="Calibri" w:hAnsi="Calibri"/>
          <w:b/>
          <w:color w:val="525866"/>
          <w:sz w:val="22"/>
        </w:rPr>
        <w:t xml:space="preserve">Early June 2026 — Series C Preferred Stock Offering: </w:t>
      </w:r>
      <w:r>
        <w:rPr>
          <w:rFonts w:ascii="Calibri" w:hAnsi="Calibri"/>
          <w:color w:val="525866"/>
          <w:sz w:val="22"/>
        </w:rPr>
        <w:t xml:space="preserve">SYF completed a public offering of Series C Preferred Stock at 7.250% coupon. </w:t>
      </w:r>
      <w:r>
        <w:rPr>
          <w:rFonts w:ascii="Calibri" w:hAnsi="Calibri"/>
          <w:b/>
          <w:color w:val="525866"/>
          <w:sz w:val="22"/>
        </w:rPr>
        <w:t xml:space="preserve">Implication: </w:t>
      </w:r>
      <w:r>
        <w:rPr>
          <w:rFonts w:ascii="Calibri" w:hAnsi="Calibri"/>
          <w:color w:val="525866"/>
          <w:sz w:val="22"/>
        </w:rPr>
        <w:t>New capital structure action; modestly dilutive to common equity but signals confidence in capital generation capacity. CET1 well above internal target with ~350 bps of annual capital generation.</w:t>
      </w:r>
    </w:p>
    <w:p>
      <w:pPr>
        <w:pStyle w:val="ListBullet"/>
        <w:ind w:left="360" w:hanging="360"/>
      </w:pPr>
      <w:r>
        <w:rPr>
          <w:rFonts w:ascii="Calibri" w:hAnsi="Calibri"/>
          <w:b/>
          <w:color w:val="525866"/>
          <w:sz w:val="22"/>
        </w:rPr>
        <w:t xml:space="preserve">June 9, 2026 — Morgan Stanley US Financials Conference: </w:t>
      </w:r>
      <w:r>
        <w:rPr>
          <w:rFonts w:ascii="Calibri" w:hAnsi="Calibri"/>
          <w:color w:val="525866"/>
          <w:sz w:val="22"/>
        </w:rPr>
        <w:t xml:space="preserve">CFO Brian Wenzel participated in fireside chat. No new financial guidance disclosed, but management reiterated three consecutive months of positive YoY loan receivables growth through May 2026 (beating seasonality). </w:t>
      </w:r>
      <w:r>
        <w:rPr>
          <w:rFonts w:ascii="Calibri" w:hAnsi="Calibri"/>
          <w:b/>
          <w:color w:val="525866"/>
          <w:sz w:val="22"/>
        </w:rPr>
        <w:t xml:space="preserve">Implication: </w:t>
      </w:r>
      <w:r>
        <w:rPr>
          <w:rFonts w:ascii="Calibri" w:hAnsi="Calibri"/>
          <w:color w:val="525866"/>
          <w:sz w:val="22"/>
        </w:rPr>
        <w:t>Confirms the loan growth inflection is on track heading into Q2.</w:t>
      </w:r>
    </w:p>
    <w:p>
      <w:pPr>
        <w:pStyle w:val="ListBullet"/>
        <w:ind w:left="360" w:hanging="360"/>
      </w:pPr>
      <w:r>
        <w:rPr>
          <w:rFonts w:ascii="Calibri" w:hAnsi="Calibri"/>
          <w:b/>
          <w:color w:val="525866"/>
          <w:sz w:val="22"/>
        </w:rPr>
        <w:t xml:space="preserve">May 14, 2026 — April Monthly Credit Statistics (8-K): </w:t>
      </w:r>
      <w:r>
        <w:rPr>
          <w:rFonts w:ascii="Calibri" w:hAnsi="Calibri"/>
          <w:color w:val="525866"/>
          <w:sz w:val="22"/>
        </w:rPr>
        <w:t xml:space="preserve">30+ delinquency rate improved to 4.3% (from 4.5% in March); NCO rate improved to 5.5% (from 5.8% in March); period-end loan receivables increased to $100.9B (from $100.1B). </w:t>
      </w:r>
      <w:r>
        <w:rPr>
          <w:rFonts w:ascii="Calibri" w:hAnsi="Calibri"/>
          <w:b/>
          <w:color w:val="525866"/>
          <w:sz w:val="22"/>
        </w:rPr>
        <w:t xml:space="preserve">Implication: </w:t>
      </w:r>
      <w:r>
        <w:rPr>
          <w:rFonts w:ascii="Calibri" w:hAnsi="Calibri"/>
          <w:color w:val="525866"/>
          <w:sz w:val="22"/>
        </w:rPr>
        <w:t>First month of Q2 showed improving credit trends and positive loan receivables momentum — a constructive setup for the full Q2 print.</w:t>
      </w:r>
    </w:p>
    <w:p>
      <w:pPr>
        <w:pStyle w:val="ListBullet"/>
        <w:ind w:left="360" w:hanging="360"/>
      </w:pPr>
      <w:r>
        <w:rPr>
          <w:rFonts w:ascii="Calibri" w:hAnsi="Calibri"/>
          <w:b/>
          <w:color w:val="525866"/>
          <w:sz w:val="22"/>
        </w:rPr>
        <w:t xml:space="preserve">April 22, 2026 — BTIG Downgrade to Neutral from Buy: </w:t>
      </w:r>
      <w:r>
        <w:rPr>
          <w:rFonts w:ascii="Calibri" w:hAnsi="Calibri"/>
          <w:color w:val="525866"/>
          <w:sz w:val="22"/>
        </w:rPr>
        <w:t xml:space="preserve">BTIG downgraded SYF to Neutral from Buy the day after Q1 earnings. </w:t>
      </w:r>
      <w:r>
        <w:rPr>
          <w:rFonts w:ascii="Calibri" w:hAnsi="Calibri"/>
          <w:b/>
          <w:color w:val="525866"/>
          <w:sz w:val="22"/>
        </w:rPr>
        <w:t xml:space="preserve">Implication: </w:t>
      </w:r>
      <w:r>
        <w:rPr>
          <w:rFonts w:ascii="Calibri" w:hAnsi="Calibri"/>
          <w:color w:val="525866"/>
          <w:sz w:val="22"/>
        </w:rPr>
        <w:t>Suggests the Q1 beat was largely anticipated; the stock's muted reaction on earnings day was consistent with this view. No other rating changes since.</w:t>
      </w:r>
    </w:p>
    <w:p>
      <w:pPr>
        <w:pStyle w:val="ListBullet"/>
        <w:ind w:left="360" w:hanging="360"/>
      </w:pPr>
      <w:r>
        <w:rPr>
          <w:rFonts w:ascii="Calibri" w:hAnsi="Calibri"/>
          <w:b/>
          <w:color w:val="525866"/>
          <w:sz w:val="22"/>
        </w:rPr>
        <w:t xml:space="preserve">Capital One (COF) — July 20, 2026 — Class-Action Lawsuit Dismissed: </w:t>
      </w:r>
      <w:r>
        <w:rPr>
          <w:rFonts w:ascii="Calibri" w:hAnsi="Calibri"/>
          <w:color w:val="525866"/>
          <w:sz w:val="22"/>
        </w:rPr>
        <w:t xml:space="preserve">Federal judge dismissed claims that Capital One imposed excessive interest rates on credit card customers. </w:t>
      </w:r>
      <w:r>
        <w:rPr>
          <w:rFonts w:ascii="Calibri" w:hAnsi="Calibri"/>
          <w:b/>
          <w:color w:val="525866"/>
          <w:sz w:val="22"/>
        </w:rPr>
        <w:t xml:space="preserve">Implication for SYF: </w:t>
      </w:r>
      <w:r>
        <w:rPr>
          <w:rFonts w:ascii="Calibri" w:hAnsi="Calibri"/>
          <w:color w:val="525866"/>
          <w:sz w:val="22"/>
        </w:rPr>
        <w:t>Reduces regulatory/legal tail risk for the broader credit card industry, including SYF.</w:t>
      </w:r>
    </w:p>
    <w:p>
      <w:pPr>
        <w:pStyle w:val="ListBullet"/>
        <w:ind w:left="360" w:hanging="360"/>
      </w:pPr>
      <w:r>
        <w:rPr>
          <w:rFonts w:ascii="Calibri" w:hAnsi="Calibri"/>
          <w:b/>
          <w:color w:val="525866"/>
          <w:sz w:val="22"/>
        </w:rPr>
        <w:t xml:space="preserve">Macro — US CPI June 2026 (July 15, 2026): </w:t>
      </w:r>
      <w:r>
        <w:rPr>
          <w:rFonts w:ascii="Calibri" w:hAnsi="Calibri"/>
          <w:color w:val="525866"/>
          <w:sz w:val="22"/>
        </w:rPr>
        <w:t xml:space="preserve">Consumer prices fell 0.4% MoM, biggest monthly decline since pandemic onset; core inflation unchanged. </w:t>
      </w:r>
      <w:r>
        <w:rPr>
          <w:rFonts w:ascii="Calibri" w:hAnsi="Calibri"/>
          <w:b/>
          <w:color w:val="525866"/>
          <w:sz w:val="22"/>
        </w:rPr>
        <w:t xml:space="preserve">Implication for SYF: </w:t>
      </w:r>
      <w:r>
        <w:rPr>
          <w:rFonts w:ascii="Calibri" w:hAnsi="Calibri"/>
          <w:color w:val="525866"/>
          <w:sz w:val="22"/>
        </w:rPr>
        <w:t>Reduces near-term rate hike risk, supportive of SYF's funding cost trajectory and consumer payment capacity.</w:t>
      </w:r>
    </w:p>
    <w:p>
      <w:pPr>
        <w:pStyle w:val="ListBullet"/>
        <w:ind w:left="360" w:hanging="360"/>
      </w:pPr>
      <w:r>
        <w:rPr>
          <w:rFonts w:ascii="Calibri" w:hAnsi="Calibri"/>
          <w:b/>
          <w:color w:val="525866"/>
          <w:sz w:val="22"/>
        </w:rPr>
        <w:t xml:space="preserve">Macro — US Housing Bill Signed (July 11, 2026): </w:t>
      </w:r>
      <w:r>
        <w:rPr>
          <w:rFonts w:ascii="Calibri" w:hAnsi="Calibri"/>
          <w:color w:val="525866"/>
          <w:sz w:val="22"/>
        </w:rPr>
        <w:t xml:space="preserve">21st Century Road to Housing Act signed into law, targeting housing supply increase. </w:t>
      </w:r>
      <w:r>
        <w:rPr>
          <w:rFonts w:ascii="Calibri" w:hAnsi="Calibri"/>
          <w:b/>
          <w:color w:val="525866"/>
          <w:sz w:val="22"/>
        </w:rPr>
        <w:t xml:space="preserve">Implication for SYF: </w:t>
      </w:r>
      <w:r>
        <w:rPr>
          <w:rFonts w:ascii="Calibri" w:hAnsi="Calibri"/>
          <w:color w:val="525866"/>
          <w:sz w:val="22"/>
        </w:rPr>
        <w:t>Potential long-term positive for SYF's Home &amp; Auto platform if housing activity increases.</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The only insider transactions since the Q1 earnings print were three 10b5-1 planned sales on May 1, 2026 — all pre-scheduled and obligation-driven. There are no open-market buys or discretionary sales, and no clustered activity that would signal unusual insider conviction in either direction. The silence on open-market buying is notable given the stock's underperformance, but the absence of discretionary selling is modestly reassuring.</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Alberto Casellas</w:t>
            </w:r>
          </w:p>
        </w:tc>
        <w:tc>
          <w:tcPr>
            <w:tcW w:type="dxa" w:w="1440"/>
          </w:tcPr>
          <w:p>
            <w:r>
              <w:rPr>
                <w:rFonts w:ascii="Calibri" w:hAnsi="Calibri"/>
                <w:sz w:val="22"/>
              </w:rPr>
              <w:t>Executive Officer</w:t>
            </w:r>
          </w:p>
        </w:tc>
        <w:tc>
          <w:tcPr>
            <w:tcW w:type="dxa" w:w="1440"/>
          </w:tcPr>
          <w:p>
            <w:r>
              <w:rPr>
                <w:rFonts w:ascii="Calibri" w:hAnsi="Calibri"/>
                <w:sz w:val="22"/>
              </w:rPr>
              <w:t>10b5-1 Planned Sale</w:t>
            </w:r>
          </w:p>
        </w:tc>
        <w:tc>
          <w:tcPr>
            <w:tcW w:type="dxa" w:w="1440"/>
          </w:tcPr>
          <w:p>
            <w:r>
              <w:rPr>
                <w:rFonts w:ascii="Calibri" w:hAnsi="Calibri"/>
                <w:sz w:val="22"/>
              </w:rPr>
              <w:t>5,794 shares</w:t>
            </w:r>
          </w:p>
        </w:tc>
        <w:tc>
          <w:tcPr>
            <w:tcW w:type="dxa" w:w="1440"/>
          </w:tcPr>
          <w:p>
            <w:r>
              <w:rPr>
                <w:rFonts w:ascii="Calibri" w:hAnsi="Calibri"/>
                <w:sz w:val="22"/>
              </w:rPr>
              <w:t>May 1, 2026</w:t>
            </w:r>
          </w:p>
        </w:tc>
        <w:tc>
          <w:tcPr>
            <w:tcW w:type="dxa" w:w="1440"/>
          </w:tcPr>
          <w:p>
            <w:r>
              <w:rPr>
                <w:rFonts w:ascii="Calibri" w:hAnsi="Calibri"/>
                <w:sz w:val="22"/>
              </w:rPr>
              <w:t>Pre-scheduled 10b5-1 plan; routine/obligation-driven. 50,331 shares retained post-sale.</w:t>
            </w:r>
          </w:p>
        </w:tc>
      </w:tr>
      <w:tr>
        <w:tc>
          <w:tcPr>
            <w:tcW w:type="dxa" w:w="1440"/>
          </w:tcPr>
          <w:p>
            <w:r>
              <w:rPr>
                <w:rFonts w:ascii="Calibri" w:hAnsi="Calibri"/>
                <w:sz w:val="22"/>
              </w:rPr>
              <w:t>Arthur W. Coviello Jr.</w:t>
            </w:r>
          </w:p>
        </w:tc>
        <w:tc>
          <w:tcPr>
            <w:tcW w:type="dxa" w:w="1440"/>
          </w:tcPr>
          <w:p>
            <w:r>
              <w:rPr>
                <w:rFonts w:ascii="Calibri" w:hAnsi="Calibri"/>
                <w:sz w:val="22"/>
              </w:rPr>
              <w:t>Director</w:t>
            </w:r>
          </w:p>
        </w:tc>
        <w:tc>
          <w:tcPr>
            <w:tcW w:type="dxa" w:w="1440"/>
          </w:tcPr>
          <w:p>
            <w:r>
              <w:rPr>
                <w:rFonts w:ascii="Calibri" w:hAnsi="Calibri"/>
                <w:sz w:val="22"/>
              </w:rPr>
              <w:t>10b5-1 Planned Sale</w:t>
            </w:r>
          </w:p>
        </w:tc>
        <w:tc>
          <w:tcPr>
            <w:tcW w:type="dxa" w:w="1440"/>
          </w:tcPr>
          <w:p>
            <w:r>
              <w:rPr>
                <w:rFonts w:ascii="Calibri" w:hAnsi="Calibri"/>
                <w:sz w:val="22"/>
              </w:rPr>
              <w:t>4,000 shares</w:t>
            </w:r>
          </w:p>
        </w:tc>
        <w:tc>
          <w:tcPr>
            <w:tcW w:type="dxa" w:w="1440"/>
          </w:tcPr>
          <w:p>
            <w:r>
              <w:rPr>
                <w:rFonts w:ascii="Calibri" w:hAnsi="Calibri"/>
                <w:sz w:val="22"/>
              </w:rPr>
              <w:t>May 1, 2026</w:t>
            </w:r>
          </w:p>
        </w:tc>
        <w:tc>
          <w:tcPr>
            <w:tcW w:type="dxa" w:w="1440"/>
          </w:tcPr>
          <w:p>
            <w:r>
              <w:rPr>
                <w:rFonts w:ascii="Calibri" w:hAnsi="Calibri"/>
                <w:sz w:val="22"/>
              </w:rPr>
              <w:t>Pre-scheduled 10b5-1 plan; routine/obligation-driven. 29,341 shares retained post-sale.</w:t>
            </w:r>
          </w:p>
        </w:tc>
      </w:tr>
      <w:tr>
        <w:tc>
          <w:tcPr>
            <w:tcW w:type="dxa" w:w="1440"/>
          </w:tcPr>
          <w:p>
            <w:r>
              <w:rPr>
                <w:rFonts w:ascii="Calibri" w:hAnsi="Calibri"/>
                <w:sz w:val="22"/>
              </w:rPr>
              <w:t>Curtis Howse</w:t>
            </w:r>
          </w:p>
        </w:tc>
        <w:tc>
          <w:tcPr>
            <w:tcW w:type="dxa" w:w="1440"/>
          </w:tcPr>
          <w:p>
            <w:r>
              <w:rPr>
                <w:rFonts w:ascii="Calibri" w:hAnsi="Calibri"/>
                <w:sz w:val="22"/>
              </w:rPr>
              <w:t>Executive Officer</w:t>
            </w:r>
          </w:p>
        </w:tc>
        <w:tc>
          <w:tcPr>
            <w:tcW w:type="dxa" w:w="1440"/>
          </w:tcPr>
          <w:p>
            <w:r>
              <w:rPr>
                <w:rFonts w:ascii="Calibri" w:hAnsi="Calibri"/>
                <w:sz w:val="22"/>
              </w:rPr>
              <w:t>10b5-1 Planned Sale</w:t>
            </w:r>
          </w:p>
        </w:tc>
        <w:tc>
          <w:tcPr>
            <w:tcW w:type="dxa" w:w="1440"/>
          </w:tcPr>
          <w:p>
            <w:r>
              <w:rPr>
                <w:rFonts w:ascii="Calibri" w:hAnsi="Calibri"/>
                <w:sz w:val="22"/>
              </w:rPr>
              <w:t>8,436 shares</w:t>
            </w:r>
          </w:p>
        </w:tc>
        <w:tc>
          <w:tcPr>
            <w:tcW w:type="dxa" w:w="1440"/>
          </w:tcPr>
          <w:p>
            <w:r>
              <w:rPr>
                <w:rFonts w:ascii="Calibri" w:hAnsi="Calibri"/>
                <w:sz w:val="22"/>
              </w:rPr>
              <w:t>May 1, 2026</w:t>
            </w:r>
          </w:p>
        </w:tc>
        <w:tc>
          <w:tcPr>
            <w:tcW w:type="dxa" w:w="1440"/>
          </w:tcPr>
          <w:p>
            <w:r>
              <w:rPr>
                <w:rFonts w:ascii="Calibri" w:hAnsi="Calibri"/>
                <w:sz w:val="22"/>
              </w:rPr>
              <w:t>Pre-scheduled 10b5-1 plan; routine/obligation-driven. 86,437 shares retained post-sale.</w:t>
            </w:r>
          </w:p>
        </w:tc>
      </w:tr>
    </w:tbl>
    <w:p>
      <w:r>
        <w:rPr>
          <w:rFonts w:ascii="Calibri" w:hAnsi="Calibri"/>
          <w:color w:val="525866"/>
          <w:sz w:val="22"/>
        </w:rPr>
        <w:t>All three transactions were executed under pre-established 10b5-1 trading plans and occurred on the same date (May 1, 2026), consistent with a scheduled plan execution rather than discretionary selling. No open-market purchases or discretionary sales were filed in the period since the Q1 2026 earnings print (April 21, 2026) through July 20, 2026.</w:t>
      </w:r>
    </w:p>
    <w:p>
      <w:r>
        <w:rPr>
          <w:rFonts w:ascii="Calibri" w:hAnsi="Calibri"/>
          <w:i/>
          <w:color w:val="525866"/>
          <w:sz w:val="22"/>
        </w:rPr>
        <w:t>Source: SEC Form 4 Filings (Insider Transaction Data).</w:t>
      </w:r>
    </w:p>
    <w:p>
      <w:r>
        <w:br w:type="page"/>
      </w:r>
    </w:p>
    <w:p>
      <w:pPr>
        <w:pStyle w:val="Heading2"/>
      </w:pPr>
      <w:r>
        <w:rPr>
          <w:rFonts w:ascii="Calibri" w:hAnsi="Calibri"/>
          <w:b/>
          <w:color w:val="3B4259"/>
          <w:sz w:val="28"/>
        </w:rPr>
        <w:t>Disclosures &amp; Data Sources</w:t>
      </w:r>
    </w:p>
    <w:p>
      <w:pPr>
        <w:pStyle w:val="ListBullet"/>
        <w:ind w:left="360" w:hanging="360"/>
      </w:pPr>
      <w:r>
        <w:rPr>
          <w:rFonts w:ascii="Calibri" w:hAnsi="Calibri"/>
          <w:b/>
          <w:color w:val="525866"/>
          <w:sz w:val="22"/>
        </w:rPr>
        <w:t>Visible Alpha Consensus and Actuals Data</w:t>
      </w:r>
      <w:r>
        <w:rPr>
          <w:rFonts w:ascii="Calibri" w:hAnsi="Calibri"/>
          <w:color w:val="525866"/>
          <w:sz w:val="22"/>
        </w:rPr>
        <w:t xml:space="preserve"> — All KPI consensus estimates and actuals (Diluted Operating EPS, Total Loan Receivables, Net Charge-Off Rate, Purchase Volume, Net Interest Income, Revenue Net of Interest Expense). Accessed July 20, 2026.</w:t>
      </w:r>
    </w:p>
    <w:p>
      <w:pPr>
        <w:pStyle w:val="ListBullet"/>
        <w:ind w:left="360" w:hanging="360"/>
      </w:pPr>
      <w:r>
        <w:rPr>
          <w:rFonts w:ascii="Calibri" w:hAnsi="Calibri"/>
          <w:b/>
          <w:color w:val="525866"/>
          <w:sz w:val="22"/>
        </w:rPr>
        <w:t>Stock Price Data (Yahoo Finance)</w:t>
      </w:r>
      <w:r>
        <w:rPr>
          <w:rFonts w:ascii="Calibri" w:hAnsi="Calibri"/>
          <w:color w:val="525866"/>
          <w:sz w:val="22"/>
        </w:rPr>
        <w:t xml:space="preserve"> — SYF, XLF, SPY daily closing prices April 20 – July 21, 2026.</w:t>
      </w:r>
    </w:p>
    <w:p>
      <w:pPr>
        <w:pStyle w:val="ListBullet"/>
        <w:ind w:left="360" w:hanging="360"/>
      </w:pPr>
      <w:r>
        <w:rPr>
          <w:rFonts w:ascii="Calibri" w:hAnsi="Calibri"/>
          <w:b/>
          <w:color w:val="525866"/>
          <w:sz w:val="22"/>
        </w:rPr>
        <w:t>SEC Form 4 Filings</w:t>
      </w:r>
      <w:r>
        <w:rPr>
          <w:rFonts w:ascii="Calibri" w:hAnsi="Calibri"/>
          <w:color w:val="525866"/>
          <w:sz w:val="22"/>
        </w:rPr>
        <w:t xml:space="preserve"> — Insider transaction data for SYF, May 2026.</w:t>
      </w:r>
    </w:p>
    <w:p>
      <w:pPr>
        <w:pStyle w:val="ListBullet"/>
        <w:ind w:left="360" w:hanging="360"/>
      </w:pPr>
      <w:r>
        <w:rPr>
          <w:rFonts w:ascii="Calibri" w:hAnsi="Calibri"/>
          <w:b/>
          <w:color w:val="525866"/>
          <w:sz w:val="22"/>
        </w:rPr>
        <w:t>Analyst Rating Change Data (Financial Modeling Prep / TheFly.com)</w:t>
      </w:r>
      <w:r>
        <w:rPr>
          <w:rFonts w:ascii="Calibri" w:hAnsi="Calibri"/>
          <w:color w:val="525866"/>
          <w:sz w:val="22"/>
        </w:rPr>
        <w:t xml:space="preserve"> — BTIG downgrade April 22, 2026.</w:t>
      </w:r>
    </w:p>
    <w:p>
      <w:pPr>
        <w:pStyle w:val="ListBullet"/>
        <w:ind w:left="360" w:hanging="360"/>
      </w:pPr>
      <w:r>
        <w:rPr>
          <w:rFonts w:ascii="Calibri" w:hAnsi="Calibri"/>
          <w:b/>
          <w:color w:val="525866"/>
          <w:sz w:val="22"/>
        </w:rPr>
        <w:t>SYF SEC Filings</w:t>
      </w:r>
      <w:r>
        <w:rPr>
          <w:rFonts w:ascii="Calibri" w:hAnsi="Calibri"/>
          <w:color w:val="525866"/>
          <w:sz w:val="22"/>
        </w:rPr>
        <w:t xml:space="preserve"> — Q1 2026 Earnings Release and Call Transcript (April 21, 2026); April Monthly Credit Statistics 8-K (May 14, 2026); Morgan Stanley Conference announcement (June 2, 2026); Annual Meeting 8-K (June 25, 2026); Executive Leadership 8-K (June 29, 2026).</w:t>
      </w:r>
    </w:p>
    <w:p>
      <w:pPr>
        <w:pStyle w:val="ListBullet"/>
        <w:ind w:left="360" w:hanging="360"/>
      </w:pPr>
      <w:r>
        <w:rPr>
          <w:rFonts w:ascii="Calibri" w:hAnsi="Calibri"/>
          <w:b/>
          <w:color w:val="525866"/>
          <w:sz w:val="22"/>
        </w:rPr>
        <w:t>JPM Q2 2026 Earnings Call Transcript</w:t>
      </w:r>
      <w:r>
        <w:rPr>
          <w:rFonts w:ascii="Calibri" w:hAnsi="Calibri"/>
          <w:color w:val="525866"/>
          <w:sz w:val="22"/>
        </w:rPr>
        <w:t xml:space="preserve"> — July 14, 2026.</w:t>
      </w:r>
    </w:p>
    <w:p>
      <w:pPr>
        <w:pStyle w:val="ListBullet"/>
        <w:ind w:left="360" w:hanging="360"/>
      </w:pPr>
      <w:r>
        <w:rPr>
          <w:rFonts w:ascii="Calibri" w:hAnsi="Calibri"/>
          <w:b/>
          <w:color w:val="525866"/>
          <w:sz w:val="22"/>
        </w:rPr>
        <w:t>Citigroup Q2 2026 Earnings Call Transcript</w:t>
      </w:r>
      <w:r>
        <w:rPr>
          <w:rFonts w:ascii="Calibri" w:hAnsi="Calibri"/>
          <w:color w:val="525866"/>
          <w:sz w:val="22"/>
        </w:rPr>
        <w:t xml:space="preserve"> — July 14, 2026.</w:t>
      </w:r>
    </w:p>
    <w:p>
      <w:pPr>
        <w:pStyle w:val="ListBullet"/>
        <w:ind w:left="360" w:hanging="360"/>
      </w:pPr>
      <w:r>
        <w:rPr>
          <w:rFonts w:ascii="Calibri" w:hAnsi="Calibri"/>
          <w:b/>
          <w:color w:val="525866"/>
          <w:sz w:val="22"/>
        </w:rPr>
        <w:t>AXP 8-K (June 2026 Monthly Credit Statistics)</w:t>
      </w:r>
      <w:r>
        <w:rPr>
          <w:rFonts w:ascii="Calibri" w:hAnsi="Calibri"/>
          <w:color w:val="525866"/>
          <w:sz w:val="22"/>
        </w:rPr>
        <w:t xml:space="preserve"> — Filed July 15, 2026.</w:t>
      </w:r>
    </w:p>
    <w:p>
      <w:pPr>
        <w:pStyle w:val="ListBullet"/>
        <w:ind w:left="360" w:hanging="360"/>
      </w:pPr>
      <w:r>
        <w:rPr>
          <w:rFonts w:ascii="Calibri" w:hAnsi="Calibri"/>
          <w:b/>
          <w:color w:val="525866"/>
          <w:sz w:val="22"/>
        </w:rPr>
        <w:t>News Digest / Public Sources</w:t>
      </w:r>
      <w:r>
        <w:rPr>
          <w:rFonts w:ascii="Calibri" w:hAnsi="Calibri"/>
          <w:color w:val="525866"/>
          <w:sz w:val="22"/>
        </w:rPr>
        <w:t xml:space="preserve"> — Meredith Whitney Bloomberg interview (June 1, 2026); US CPI data (July 15, 2026); US Housing Bill (July 11, 2026); COF lawsuit dismissal (July 20, 2026).</w:t>
      </w:r>
    </w:p>
    <w:p>
      <w:pPr>
        <w:pStyle w:val="ListBullet"/>
        <w:ind w:left="360" w:hanging="360"/>
      </w:pPr>
      <w:r>
        <w:rPr>
          <w:rFonts w:ascii="Calibri" w:hAnsi="Calibri"/>
          <w:i/>
          <w:color w:val="525866"/>
          <w:sz w:val="22"/>
        </w:rPr>
        <w:t>This document is prepared for informational purposes only and does not constitute investment advice. All estimates and consensus figures are as of July 20, 2026 and subject to change.</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